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0DF4" w:rsidRDefault="00B40DF4" w:rsidP="00B40DF4">
      <w:pPr>
        <w:pStyle w:val="Heading7"/>
        <w:jc w:val="left"/>
        <w:rPr>
          <w:sz w:val="28"/>
          <w:szCs w:val="28"/>
        </w:rPr>
      </w:pPr>
      <w:bookmarkStart w:id="0" w:name="OLE_LINK1"/>
      <w:bookmarkStart w:id="1" w:name="OLE_LINK2"/>
      <w:r>
        <w:rPr>
          <w:noProof/>
          <w:lang w:val="en-US" w:eastAsia="en-US"/>
        </w:rPr>
        <mc:AlternateContent>
          <mc:Choice Requires="wps">
            <w:drawing>
              <wp:anchor distT="0" distB="0" distL="114300" distR="114300" simplePos="0" relativeHeight="251628032" behindDoc="0" locked="0" layoutInCell="1" allowOverlap="1" wp14:anchorId="27FA1F5A" wp14:editId="419175CB">
                <wp:simplePos x="0" y="0"/>
                <wp:positionH relativeFrom="column">
                  <wp:posOffset>1126490</wp:posOffset>
                </wp:positionH>
                <wp:positionV relativeFrom="paragraph">
                  <wp:posOffset>80341</wp:posOffset>
                </wp:positionV>
                <wp:extent cx="3752850" cy="37338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2850" cy="373380"/>
                        </a:xfrm>
                        <a:prstGeom prst="rect">
                          <a:avLst/>
                        </a:prstGeom>
                        <a:noFill/>
                        <a:ln w="9525">
                          <a:noFill/>
                          <a:miter lim="800000"/>
                          <a:headEnd/>
                          <a:tailEnd/>
                        </a:ln>
                      </wps:spPr>
                      <wps:txbx>
                        <w:txbxContent>
                          <w:p w:rsidR="00B40DF4" w:rsidRPr="0017197C" w:rsidRDefault="00B40DF4" w:rsidP="00B40DF4">
                            <w:pPr>
                              <w:jc w:val="center"/>
                              <w:rPr>
                                <w:sz w:val="28"/>
                                <w:szCs w:val="28"/>
                              </w:rPr>
                            </w:pPr>
                            <w:r>
                              <w:rPr>
                                <w:rFonts w:asciiTheme="majorBidi" w:hAnsiTheme="majorBidi"/>
                                <w:b/>
                                <w:sz w:val="28"/>
                                <w:szCs w:val="28"/>
                              </w:rPr>
                              <w:t>DOCUMENT D</w:t>
                            </w:r>
                            <w:r w:rsidR="00AD4EEC">
                              <w:rPr>
                                <w:rFonts w:asciiTheme="majorBidi" w:hAnsiTheme="majorBidi"/>
                                <w:b/>
                                <w:sz w:val="28"/>
                                <w:szCs w:val="28"/>
                              </w:rPr>
                              <w:t>’</w:t>
                            </w:r>
                            <w:r>
                              <w:rPr>
                                <w:rFonts w:asciiTheme="majorBidi" w:hAnsiTheme="majorBidi"/>
                                <w:b/>
                                <w:sz w:val="28"/>
                                <w:szCs w:val="28"/>
                              </w:rPr>
                              <w:t>INFORMATION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88.7pt;margin-top:6.35pt;width:295.5pt;height:29.4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" filled="f" stroked="f">
                <v:textbox>
                  <w:txbxContent>
                    <w:p w:rsidR="00B40DF4" w:rsidRPr="0017197C" w:rsidRDefault="00B40DF4" w:rsidP="00B40DF4">
                      <w:pPr>
                        <w:jc w:val="center"/>
                        <w:rPr>
                          <w:sz w:val="28"/>
                          <w:szCs w:val="28"/>
                        </w:rPr>
                      </w:pPr>
                      <w:r>
                        <w:rPr>
                          <w:rFonts w:asciiTheme="majorBidi" w:hAnsiTheme="majorBidi"/>
                          <w:b/>
                          <w:sz w:val="28"/>
                          <w:szCs w:val="28"/>
                        </w:rPr>
                        <w:t>DOCUMENT D</w:t>
                      </w:r>
                      <w:r w:rsidR="00AD4EEC">
                        <w:rPr>
                          <w:rFonts w:asciiTheme="majorBidi" w:hAnsiTheme="majorBidi"/>
                          <w:b/>
                          <w:sz w:val="28"/>
                          <w:szCs w:val="28"/>
                        </w:rPr>
                        <w:t>’</w:t>
                      </w:r>
                      <w:r>
                        <w:rPr>
                          <w:rFonts w:asciiTheme="majorBidi" w:hAnsiTheme="majorBidi"/>
                          <w:b/>
                          <w:sz w:val="28"/>
                          <w:szCs w:val="28"/>
                        </w:rPr>
                        <w:t>INFORMATION</w:t>
                      </w:r>
                    </w:p>
                  </w:txbxContent>
                </v:textbox>
              </v:shape>
            </w:pict>
          </mc:Fallback>
        </mc:AlternateContent>
      </w:r>
    </w:p>
    <w:p w:rsidR="0057123F" w:rsidRDefault="00895403" w:rsidP="0057123F">
      <w:pPr>
        <w:pStyle w:val="Heading7"/>
        <w:rPr>
          <w:sz w:val="28"/>
          <w:szCs w:val="28"/>
        </w:rPr>
      </w:pPr>
      <w:r w:rsidRPr="00DF12C3">
        <w:rPr>
          <w:rFonts w:ascii="Times New Roman" w:hAnsi="Times New Roman"/>
          <w:u w:val="single"/>
        </w:rPr>
        <w:t>PIC13/S3/1/Info 1</w:t>
      </w:r>
      <w:r>
        <w:rPr>
          <w:rFonts w:ascii="Times New Roman" w:hAnsi="Times New Roman"/>
          <w:u w:val="single"/>
        </w:rPr>
        <w:br/>
      </w:r>
      <w:r w:rsidR="0057123F">
        <w:rPr>
          <w:sz w:val="28"/>
          <w:szCs w:val="28"/>
        </w:rPr>
        <w:t>Réseau océanien de surveillance de la santé publique</w:t>
      </w:r>
    </w:p>
    <w:p w:rsidR="0017197C" w:rsidRPr="00E23A3B" w:rsidRDefault="0017197C" w:rsidP="0017197C">
      <w:pPr>
        <w:spacing w:before="480" w:after="480" w:line="360" w:lineRule="auto"/>
        <w:jc w:val="center"/>
        <w:rPr>
          <w:rFonts w:asciiTheme="majorBidi" w:hAnsiTheme="majorBidi" w:cstheme="majorBidi"/>
          <w:b/>
          <w:bCs/>
        </w:rPr>
      </w:pPr>
      <w:r>
        <w:rPr>
          <w:rFonts w:asciiTheme="majorBidi" w:hAnsiTheme="majorBidi"/>
          <w:b/>
          <w:bCs/>
        </w:rPr>
        <w:t>1.  CONTEXTE</w:t>
      </w:r>
    </w:p>
    <w:p w:rsidR="00A94FA5" w:rsidRPr="00AB71A2" w:rsidRDefault="00A94FA5" w:rsidP="00A94FA5">
      <w:pPr>
        <w:spacing w:before="240" w:after="240" w:line="360" w:lineRule="auto"/>
        <w:ind w:firstLine="720"/>
        <w:rPr>
          <w:rFonts w:ascii="Times New Roman" w:hAnsi="Times New Roman" w:cs="Times New Roman"/>
        </w:rPr>
      </w:pPr>
      <w:r w:rsidRPr="002D43D8">
        <w:rPr>
          <w:rFonts w:ascii="Times New Roman" w:hAnsi="Times New Roman" w:cs="Times New Roman"/>
        </w:rPr>
        <w:t xml:space="preserve">Le </w:t>
      </w:r>
      <w:hyperlink r:id="rId9" w:history="1">
        <w:r>
          <w:rPr>
            <w:rStyle w:val="Hyperlink"/>
            <w:rFonts w:ascii="Times New Roman" w:hAnsi="Times New Roman"/>
          </w:rPr>
          <w:t>Réseau océanien de surveillance de la santé publique</w:t>
        </w:r>
      </w:hyperlink>
      <w:r w:rsidRPr="002D43D8">
        <w:rPr>
          <w:rFonts w:ascii="Times New Roman" w:hAnsi="Times New Roman" w:cs="Times New Roman"/>
        </w:rPr>
        <w:t xml:space="preserve"> (ROSSP), créé conjointement en</w:t>
      </w:r>
      <w:r w:rsidR="00822CA7">
        <w:rPr>
          <w:rFonts w:ascii="Times New Roman" w:hAnsi="Times New Roman"/>
        </w:rPr>
        <w:t> </w:t>
      </w:r>
      <w:r w:rsidR="00037A41">
        <w:rPr>
          <w:rFonts w:ascii="Times New Roman" w:hAnsi="Times New Roman" w:cs="Times New Roman"/>
        </w:rPr>
        <w:t>1</w:t>
      </w:r>
      <w:r w:rsidRPr="002D43D8">
        <w:rPr>
          <w:rFonts w:ascii="Times New Roman" w:hAnsi="Times New Roman" w:cs="Times New Roman"/>
        </w:rPr>
        <w:t>996 par la Communauté du Pacifique (CPS) et l</w:t>
      </w:r>
      <w:r w:rsidR="00AD4EEC" w:rsidRPr="002D43D8">
        <w:rPr>
          <w:rFonts w:ascii="Times New Roman" w:hAnsi="Times New Roman" w:cs="Times New Roman"/>
        </w:rPr>
        <w:t>’</w:t>
      </w:r>
      <w:r w:rsidRPr="002D43D8">
        <w:rPr>
          <w:rFonts w:ascii="Times New Roman" w:hAnsi="Times New Roman" w:cs="Times New Roman"/>
        </w:rPr>
        <w:t>Organisation mondiale de la Santé (OMS), est un groupement volontaire de pays et d</w:t>
      </w:r>
      <w:r w:rsidR="00AD4EEC" w:rsidRPr="002D43D8">
        <w:rPr>
          <w:rFonts w:ascii="Times New Roman" w:hAnsi="Times New Roman" w:cs="Times New Roman"/>
        </w:rPr>
        <w:t>’</w:t>
      </w:r>
      <w:r w:rsidRPr="002D43D8">
        <w:rPr>
          <w:rFonts w:ascii="Times New Roman" w:hAnsi="Times New Roman" w:cs="Times New Roman"/>
        </w:rPr>
        <w:t>organisations qui se consacre à la promotion de la surveillance de la santé publique et s</w:t>
      </w:r>
      <w:r w:rsidR="00AD4EEC" w:rsidRPr="002D43D8">
        <w:rPr>
          <w:rFonts w:ascii="Times New Roman" w:hAnsi="Times New Roman" w:cs="Times New Roman"/>
        </w:rPr>
        <w:t>’</w:t>
      </w:r>
      <w:r w:rsidRPr="002D43D8">
        <w:rPr>
          <w:rFonts w:ascii="Times New Roman" w:hAnsi="Times New Roman" w:cs="Times New Roman"/>
        </w:rPr>
        <w:t>efforce de répondre efficacement aux problèmes sanitaires qui se posent dans la région, dans un souci d</w:t>
      </w:r>
      <w:r w:rsidR="00AD4EEC" w:rsidRPr="002D43D8">
        <w:rPr>
          <w:rFonts w:ascii="Times New Roman" w:hAnsi="Times New Roman" w:cs="Times New Roman"/>
        </w:rPr>
        <w:t>’</w:t>
      </w:r>
      <w:r w:rsidRPr="002D43D8">
        <w:rPr>
          <w:rFonts w:ascii="Times New Roman" w:hAnsi="Times New Roman" w:cs="Times New Roman"/>
        </w:rPr>
        <w:t>amélioration de la santé des populations océaniennes.</w:t>
      </w:r>
      <w:r>
        <w:rPr>
          <w:rFonts w:ascii="Times New Roman" w:hAnsi="Times New Roman"/>
        </w:rPr>
        <w:t xml:space="preserve"> Les ministères et départements de la Santé des États et Territoires insulaires océaniens sont les membres statutaires du ROSSP. Le groupement comprend aussi des membres associés, parmi lesquels figurent des établissements de formation, des organismes et des laboratoires régionaux, ainsi que d</w:t>
      </w:r>
      <w:r w:rsidR="00AD4EEC">
        <w:rPr>
          <w:rFonts w:ascii="Times New Roman" w:hAnsi="Times New Roman"/>
        </w:rPr>
        <w:t>’</w:t>
      </w:r>
      <w:r>
        <w:rPr>
          <w:rFonts w:ascii="Times New Roman" w:hAnsi="Times New Roman"/>
        </w:rPr>
        <w:t>autres organisations ou réseaux qui s</w:t>
      </w:r>
      <w:r w:rsidR="00AD4EEC">
        <w:rPr>
          <w:rFonts w:ascii="Times New Roman" w:hAnsi="Times New Roman"/>
        </w:rPr>
        <w:t>’</w:t>
      </w:r>
      <w:r>
        <w:rPr>
          <w:rFonts w:ascii="Times New Roman" w:hAnsi="Times New Roman"/>
        </w:rPr>
        <w:t>intéressent à la surveillance de la santé publique dans la région et ont choisi de devenir membres du ROSSP. Son action repose sur cinq stratégies de développement</w:t>
      </w:r>
      <w:r w:rsidR="00AD4EEC">
        <w:rPr>
          <w:rFonts w:ascii="Times New Roman" w:hAnsi="Times New Roman"/>
        </w:rPr>
        <w:t> :</w:t>
      </w:r>
      <w:r>
        <w:rPr>
          <w:rFonts w:ascii="Times New Roman" w:hAnsi="Times New Roman"/>
        </w:rPr>
        <w:t xml:space="preserve"> 1)</w:t>
      </w:r>
      <w:r w:rsidR="009F7922">
        <w:rPr>
          <w:rFonts w:ascii="Times New Roman" w:hAnsi="Times New Roman"/>
        </w:rPr>
        <w:t> </w:t>
      </w:r>
      <w:r>
        <w:rPr>
          <w:rFonts w:ascii="Times New Roman" w:hAnsi="Times New Roman"/>
        </w:rPr>
        <w:t>harmonisation des données de surveillance et élaboration de systèmes de surveillance appropriés (la priorité étant donnée à la surveillance et à la réponse en cas de flambée épidémique)</w:t>
      </w:r>
      <w:r w:rsidR="00AD4EEC">
        <w:rPr>
          <w:rFonts w:ascii="Times New Roman" w:hAnsi="Times New Roman"/>
        </w:rPr>
        <w:t> ;</w:t>
      </w:r>
      <w:r>
        <w:rPr>
          <w:rFonts w:ascii="Times New Roman" w:hAnsi="Times New Roman"/>
        </w:rPr>
        <w:t xml:space="preserve"> 2)</w:t>
      </w:r>
      <w:r w:rsidR="007F04B5">
        <w:rPr>
          <w:rFonts w:ascii="Times New Roman" w:hAnsi="Times New Roman"/>
        </w:rPr>
        <w:t> </w:t>
      </w:r>
      <w:r>
        <w:rPr>
          <w:rFonts w:ascii="Times New Roman" w:hAnsi="Times New Roman"/>
        </w:rPr>
        <w:t>publication et diffusion d</w:t>
      </w:r>
      <w:r w:rsidR="00AD4EEC">
        <w:rPr>
          <w:rFonts w:ascii="Times New Roman" w:hAnsi="Times New Roman"/>
        </w:rPr>
        <w:t>’</w:t>
      </w:r>
      <w:r>
        <w:rPr>
          <w:rFonts w:ascii="Times New Roman" w:hAnsi="Times New Roman"/>
        </w:rPr>
        <w:t>informations à jour, fiables et pertinentes, sous des formes diverses</w:t>
      </w:r>
      <w:r w:rsidR="00AD4EEC">
        <w:rPr>
          <w:rFonts w:ascii="Times New Roman" w:hAnsi="Times New Roman"/>
        </w:rPr>
        <w:t> ;</w:t>
      </w:r>
      <w:r>
        <w:rPr>
          <w:rFonts w:ascii="Times New Roman" w:hAnsi="Times New Roman"/>
        </w:rPr>
        <w:t xml:space="preserve"> 3)</w:t>
      </w:r>
      <w:r w:rsidR="007F04B5">
        <w:rPr>
          <w:rFonts w:ascii="Times New Roman" w:hAnsi="Times New Roman"/>
        </w:rPr>
        <w:t> </w:t>
      </w:r>
      <w:r>
        <w:rPr>
          <w:rFonts w:ascii="Times New Roman" w:hAnsi="Times New Roman"/>
        </w:rPr>
        <w:t>formation en épidémiologie de terrain et en surveillance de la santé publique, adaptée aux besoins régionaux</w:t>
      </w:r>
      <w:r w:rsidR="00AD4EEC">
        <w:rPr>
          <w:rFonts w:ascii="Times New Roman" w:hAnsi="Times New Roman"/>
        </w:rPr>
        <w:t> ;</w:t>
      </w:r>
      <w:r>
        <w:rPr>
          <w:rFonts w:ascii="Times New Roman" w:hAnsi="Times New Roman"/>
        </w:rPr>
        <w:t xml:space="preserve"> 4)</w:t>
      </w:r>
      <w:r w:rsidR="007F04B5">
        <w:rPr>
          <w:rFonts w:ascii="Times New Roman" w:hAnsi="Times New Roman"/>
        </w:rPr>
        <w:t> </w:t>
      </w:r>
      <w:r>
        <w:rPr>
          <w:rFonts w:ascii="Times New Roman" w:hAnsi="Times New Roman"/>
        </w:rPr>
        <w:t>extension du réseau de communications électroniques à de nouveaux partenaires et services et à d</w:t>
      </w:r>
      <w:r w:rsidR="00AD4EEC">
        <w:rPr>
          <w:rFonts w:ascii="Times New Roman" w:hAnsi="Times New Roman"/>
        </w:rPr>
        <w:t>’</w:t>
      </w:r>
      <w:r>
        <w:rPr>
          <w:rFonts w:ascii="Times New Roman" w:hAnsi="Times New Roman"/>
        </w:rPr>
        <w:t>autres réseaux de santé publique (télésanté)</w:t>
      </w:r>
      <w:r w:rsidR="00AD4EEC">
        <w:rPr>
          <w:rFonts w:ascii="Times New Roman" w:hAnsi="Times New Roman"/>
        </w:rPr>
        <w:t> ;</w:t>
      </w:r>
      <w:r>
        <w:rPr>
          <w:rFonts w:ascii="Times New Roman" w:hAnsi="Times New Roman"/>
        </w:rPr>
        <w:t xml:space="preserve"> et 5)</w:t>
      </w:r>
      <w:r w:rsidR="002F6AF0">
        <w:rPr>
          <w:rFonts w:ascii="Times New Roman" w:hAnsi="Times New Roman"/>
        </w:rPr>
        <w:t> </w:t>
      </w:r>
      <w:r>
        <w:rPr>
          <w:rFonts w:ascii="Times New Roman" w:hAnsi="Times New Roman"/>
        </w:rPr>
        <w:t>développement d</w:t>
      </w:r>
      <w:r w:rsidR="00AD4EEC">
        <w:rPr>
          <w:rFonts w:ascii="Times New Roman" w:hAnsi="Times New Roman"/>
        </w:rPr>
        <w:t>’</w:t>
      </w:r>
      <w:r>
        <w:rPr>
          <w:rFonts w:ascii="Times New Roman" w:hAnsi="Times New Roman"/>
        </w:rPr>
        <w:t>applications informatiques pertinentes et d</w:t>
      </w:r>
      <w:r w:rsidR="00AD4EEC">
        <w:rPr>
          <w:rFonts w:ascii="Times New Roman" w:hAnsi="Times New Roman"/>
        </w:rPr>
        <w:t>’</w:t>
      </w:r>
      <w:r>
        <w:rPr>
          <w:rFonts w:ascii="Times New Roman" w:hAnsi="Times New Roman"/>
        </w:rPr>
        <w:t>un bon rapport coût-efficacité.</w:t>
      </w:r>
    </w:p>
    <w:p w:rsidR="00A94FA5" w:rsidRDefault="00A94FA5" w:rsidP="00A94FA5">
      <w:pPr>
        <w:pStyle w:val="BodyText1"/>
        <w:spacing w:before="240"/>
        <w:ind w:firstLine="720"/>
        <w:jc w:val="left"/>
      </w:pPr>
      <w:r>
        <w:t xml:space="preserve">Le Groupe de coordination du ROSSP se réunit annuellement pour en superviser les activités. Les décisions, les mesures et les recommandations du ROSSP sont présentées tous les ans aux directeurs de la santé, qui les examinent lors de leur réunion. </w:t>
      </w:r>
    </w:p>
    <w:p w:rsidR="00A94FA5" w:rsidRPr="00AB71A2" w:rsidRDefault="00A94FA5" w:rsidP="00A94FA5">
      <w:pPr>
        <w:pStyle w:val="BodyText1"/>
        <w:spacing w:before="240"/>
        <w:ind w:firstLine="720"/>
        <w:jc w:val="left"/>
      </w:pPr>
      <w:r>
        <w:t>Le ROSSP compte six réseaux de services, qui correspondent aux étapes techniques de la lutte contre les maladies à potentiel épidémique, en particulier, et de la gestion des situations d</w:t>
      </w:r>
      <w:r w:rsidR="00AD4EEC">
        <w:t>’</w:t>
      </w:r>
      <w:r>
        <w:t xml:space="preserve">urgence sanitaire de manière générale.  </w:t>
      </w:r>
    </w:p>
    <w:p w:rsidR="00A94FA5" w:rsidRPr="006C35DB" w:rsidRDefault="00A94FA5" w:rsidP="00A94FA5">
      <w:pPr>
        <w:pStyle w:val="BodyText1"/>
        <w:spacing w:before="240"/>
        <w:ind w:firstLine="720"/>
        <w:jc w:val="left"/>
      </w:pPr>
      <w:r>
        <w:lastRenderedPageBreak/>
        <w:t xml:space="preserve">Le </w:t>
      </w:r>
      <w:r>
        <w:rPr>
          <w:b/>
        </w:rPr>
        <w:t>Système océanien de surveillance syndromique</w:t>
      </w:r>
      <w:r>
        <w:t xml:space="preserve"> a été mis en place en 2010 afin de surveiller un certain nombre de syndromes prioritaires notifiés par des sites sentinelles situés dans chaque État ou Territoire insulaire océanien. Il a été conçu pour détecter de façon précoce les flambées des maladies à potentiel épidémique les plus courantes dans la région. </w:t>
      </w:r>
    </w:p>
    <w:p w:rsidR="00A94FA5" w:rsidRPr="006C35DB" w:rsidRDefault="00A94FA5" w:rsidP="00A94FA5">
      <w:pPr>
        <w:pStyle w:val="BodyText1"/>
        <w:spacing w:before="240"/>
        <w:ind w:firstLine="720"/>
        <w:jc w:val="left"/>
      </w:pPr>
      <w:r>
        <w:t xml:space="preserve">Opérationnel depuis 1997, </w:t>
      </w:r>
      <w:hyperlink r:id="rId10" w:history="1">
        <w:proofErr w:type="spellStart"/>
        <w:r>
          <w:rPr>
            <w:rStyle w:val="Hyperlink"/>
            <w:b/>
            <w:szCs w:val="22"/>
          </w:rPr>
          <w:t>PacNet</w:t>
        </w:r>
        <w:proofErr w:type="spellEnd"/>
      </w:hyperlink>
      <w:r>
        <w:t>, le réseau de service du ROSSP pour l</w:t>
      </w:r>
      <w:r w:rsidR="00AD4EEC">
        <w:t>’</w:t>
      </w:r>
      <w:r>
        <w:t>alerte et la diffusion d</w:t>
      </w:r>
      <w:r w:rsidR="00AD4EEC">
        <w:t>’</w:t>
      </w:r>
      <w:r>
        <w:t>informations, permet de partager et de transmettre rapidement les informations et les alertes sanitaires pertinentes pour que les États et Territoires insulaires océaniens se préparent, en particulier en cas d</w:t>
      </w:r>
      <w:r w:rsidR="00AD4EEC">
        <w:t>’</w:t>
      </w:r>
      <w:r>
        <w:t>épidémie.</w:t>
      </w:r>
    </w:p>
    <w:p w:rsidR="00A94FA5" w:rsidRPr="006C35DB" w:rsidRDefault="00A94FA5" w:rsidP="00A94FA5">
      <w:pPr>
        <w:pStyle w:val="BodyText1"/>
        <w:spacing w:before="240"/>
        <w:ind w:firstLine="720"/>
        <w:jc w:val="left"/>
      </w:pPr>
      <w:r>
        <w:t>Créé en 2000 aux fins de confirmation et d</w:t>
      </w:r>
      <w:r w:rsidR="00AD4EEC">
        <w:t>’</w:t>
      </w:r>
      <w:r>
        <w:t>identification de</w:t>
      </w:r>
      <w:r w:rsidR="00151416">
        <w:t xml:space="preserve">s </w:t>
      </w:r>
      <w:r>
        <w:t>agent</w:t>
      </w:r>
      <w:r w:rsidR="00151416">
        <w:t>s</w:t>
      </w:r>
      <w:r>
        <w:t xml:space="preserve"> pathogène</w:t>
      </w:r>
      <w:r w:rsidR="00151416">
        <w:t>s</w:t>
      </w:r>
      <w:r>
        <w:t xml:space="preserve"> responsable</w:t>
      </w:r>
      <w:r w:rsidR="00151416">
        <w:t>s</w:t>
      </w:r>
      <w:r>
        <w:t xml:space="preserve"> des maladies, </w:t>
      </w:r>
      <w:hyperlink r:id="rId11" w:history="1">
        <w:r>
          <w:rPr>
            <w:rStyle w:val="Hyperlink"/>
            <w:b/>
            <w:szCs w:val="22"/>
          </w:rPr>
          <w:t>LabNet</w:t>
        </w:r>
      </w:hyperlink>
      <w:r>
        <w:t>, un réseau de laboratoires de santé publique à trois niveaux, permet à l</w:t>
      </w:r>
      <w:r w:rsidR="00AD4EEC">
        <w:t>’</w:t>
      </w:r>
      <w:r>
        <w:t>ensemble des États et Territoires insulaires océaniens d</w:t>
      </w:r>
      <w:r w:rsidR="00AD4EEC">
        <w:t>’</w:t>
      </w:r>
      <w:r>
        <w:t>avoir accès à des services de diagnostic de qualité dont ils ne disposent pas à l</w:t>
      </w:r>
      <w:r w:rsidR="00AD4EEC">
        <w:t>’</w:t>
      </w:r>
      <w:r>
        <w:t xml:space="preserve">échelle nationale. </w:t>
      </w:r>
    </w:p>
    <w:p w:rsidR="00A94FA5" w:rsidRPr="006C35DB" w:rsidRDefault="00A94FA5" w:rsidP="00A94FA5">
      <w:pPr>
        <w:pStyle w:val="BodyText1"/>
        <w:spacing w:before="240"/>
        <w:ind w:firstLine="720"/>
        <w:jc w:val="left"/>
      </w:pPr>
      <w:r>
        <w:t xml:space="preserve">Le réseau </w:t>
      </w:r>
      <w:hyperlink r:id="rId12" w:history="1">
        <w:r>
          <w:rPr>
            <w:rStyle w:val="Hyperlink"/>
            <w:b/>
            <w:szCs w:val="22"/>
          </w:rPr>
          <w:t>EpiNet</w:t>
        </w:r>
      </w:hyperlink>
      <w:r>
        <w:t xml:space="preserve"> axé sur la réponse a vu le jour en 2001. Il regroupe des équipes pluridisciplinaires nationales et territoriales, dont les membres sont sélectionnés par chaque pays océanien. Les équipes du réseau EpiNet sont chargées de la préparation et de la réponse aux flambées et aux situations d</w:t>
      </w:r>
      <w:r w:rsidR="00AD4EEC">
        <w:t>’</w:t>
      </w:r>
      <w:r>
        <w:t xml:space="preserve">urgence sanitaire sur le terrain. </w:t>
      </w:r>
    </w:p>
    <w:p w:rsidR="00A94FA5" w:rsidRPr="006C35DB" w:rsidRDefault="00A94FA5" w:rsidP="00A94FA5">
      <w:pPr>
        <w:pStyle w:val="BodyText1"/>
        <w:spacing w:before="240"/>
        <w:ind w:firstLine="720"/>
        <w:jc w:val="left"/>
      </w:pPr>
      <w:r>
        <w:t xml:space="preserve">Le réseau océanien de lutte contre les infections nosocomiales </w:t>
      </w:r>
      <w:hyperlink r:id="rId13" w:history="1">
        <w:proofErr w:type="spellStart"/>
        <w:r>
          <w:rPr>
            <w:rStyle w:val="Hyperlink"/>
            <w:b/>
            <w:szCs w:val="22"/>
          </w:rPr>
          <w:t>PICNet</w:t>
        </w:r>
        <w:proofErr w:type="spellEnd"/>
      </w:hyperlink>
      <w:r>
        <w:t xml:space="preserve"> a été lancé en 2006 afin de normaliser les systèmes de surveillance et de réponse face aux infections qui se propagent dans les établissements de santé. </w:t>
      </w:r>
    </w:p>
    <w:p w:rsidR="00A94FA5" w:rsidRDefault="00A94FA5" w:rsidP="00A94FA5">
      <w:pPr>
        <w:pStyle w:val="BodyText1"/>
        <w:spacing w:before="240"/>
        <w:ind w:firstLine="720"/>
        <w:jc w:val="left"/>
      </w:pPr>
      <w:r>
        <w:t xml:space="preserve">Le </w:t>
      </w:r>
      <w:r>
        <w:rPr>
          <w:b/>
        </w:rPr>
        <w:t xml:space="preserve">Programme de renforcement des interventions en santé publique dans le Pacifique/Utilisation des données pour la prise de décisions (SHIP/DDM) </w:t>
      </w:r>
      <w:r>
        <w:t>existe depuis 2014. Ce programme de renforcement des capacités, qui propose trois niveaux de formation</w:t>
      </w:r>
      <w:r w:rsidRPr="00740C24">
        <w:rPr>
          <w:rStyle w:val="FootnoteReference"/>
        </w:rPr>
        <w:footnoteReference w:id="1"/>
      </w:r>
      <w:r>
        <w:t xml:space="preserve">, obéit au principe </w:t>
      </w:r>
      <w:r w:rsidR="00AD4EEC">
        <w:t>« </w:t>
      </w:r>
      <w:r>
        <w:t>apprendre du monde professionnel, en situation professionnelle et au service des professionnels</w:t>
      </w:r>
      <w:r w:rsidR="00AD4EEC">
        <w:t> »</w:t>
      </w:r>
      <w:r>
        <w:t xml:space="preserve"> et s</w:t>
      </w:r>
      <w:r w:rsidR="00AD4EEC">
        <w:t>’</w:t>
      </w:r>
      <w:r>
        <w:t xml:space="preserve">appuie sur des projets existants de développement des compétences axés sur les fonctions essentielles de santé publique. </w:t>
      </w:r>
    </w:p>
    <w:p w:rsidR="00895403" w:rsidRDefault="00895403" w:rsidP="00A94FA5">
      <w:pPr>
        <w:pStyle w:val="BodyText1"/>
        <w:spacing w:before="240"/>
        <w:ind w:firstLine="720"/>
        <w:jc w:val="left"/>
      </w:pPr>
    </w:p>
    <w:p w:rsidR="00895403" w:rsidRDefault="00895403" w:rsidP="00A94FA5">
      <w:pPr>
        <w:pStyle w:val="BodyText1"/>
        <w:spacing w:before="240"/>
        <w:ind w:firstLine="720"/>
        <w:jc w:val="left"/>
      </w:pPr>
    </w:p>
    <w:p w:rsidR="00895403" w:rsidRPr="006C35DB" w:rsidRDefault="00895403" w:rsidP="00A94FA5">
      <w:pPr>
        <w:pStyle w:val="BodyText1"/>
        <w:spacing w:before="240"/>
        <w:ind w:firstLine="720"/>
        <w:jc w:val="left"/>
      </w:pPr>
    </w:p>
    <w:p w:rsidR="0017197C" w:rsidRPr="00E23A3B" w:rsidRDefault="0017197C" w:rsidP="0017197C">
      <w:pPr>
        <w:spacing w:before="480" w:after="480" w:line="360" w:lineRule="auto"/>
        <w:jc w:val="center"/>
        <w:rPr>
          <w:rFonts w:asciiTheme="majorBidi" w:eastAsia="Malgun Gothic" w:hAnsiTheme="majorBidi" w:cstheme="majorBidi"/>
          <w:b/>
          <w:bCs/>
        </w:rPr>
      </w:pPr>
      <w:r>
        <w:rPr>
          <w:rFonts w:asciiTheme="majorBidi" w:hAnsiTheme="majorBidi"/>
          <w:b/>
          <w:bCs/>
        </w:rPr>
        <w:lastRenderedPageBreak/>
        <w:t>2.  MESURES PRISES</w:t>
      </w:r>
    </w:p>
    <w:p w:rsidR="00A94FA5" w:rsidRPr="00A94FA5" w:rsidRDefault="00150F4C" w:rsidP="00A94FA5">
      <w:pPr>
        <w:spacing w:before="240" w:after="240" w:line="360" w:lineRule="auto"/>
        <w:rPr>
          <w:rFonts w:ascii="Times New Roman" w:eastAsia="Malgun Gothic" w:hAnsi="Times New Roman" w:cs="Times New Roman"/>
          <w:b/>
          <w:bCs/>
          <w:u w:val="single"/>
        </w:rPr>
      </w:pPr>
      <w:r>
        <w:rPr>
          <w:rFonts w:ascii="Times New Roman" w:hAnsi="Times New Roman"/>
          <w:b/>
          <w:bCs/>
          <w:u w:val="single"/>
        </w:rPr>
        <w:t>A. Point sur les mesures prises</w:t>
      </w:r>
      <w:r w:rsidR="00AD4EEC">
        <w:rPr>
          <w:rFonts w:ascii="Times New Roman" w:hAnsi="Times New Roman"/>
          <w:b/>
          <w:bCs/>
          <w:u w:val="single"/>
        </w:rPr>
        <w:t> :</w:t>
      </w:r>
    </w:p>
    <w:p w:rsidR="00A94FA5" w:rsidRPr="006C35DB" w:rsidRDefault="00150F4C" w:rsidP="00A94FA5">
      <w:pPr>
        <w:spacing w:before="240" w:after="240" w:line="360" w:lineRule="auto"/>
        <w:rPr>
          <w:rFonts w:ascii="Times New Roman" w:hAnsi="Times New Roman" w:cs="Times New Roman"/>
        </w:rPr>
      </w:pPr>
      <w:r>
        <w:rPr>
          <w:rFonts w:ascii="Times New Roman" w:hAnsi="Times New Roman"/>
          <w:b/>
          <w:bCs/>
        </w:rPr>
        <w:t>A1.</w:t>
      </w:r>
      <w:r>
        <w:rPr>
          <w:rFonts w:ascii="Times New Roman" w:hAnsi="Times New Roman"/>
          <w:b/>
          <w:bCs/>
        </w:rPr>
        <w:tab/>
        <w:t>Évaluation du ROSSP</w:t>
      </w:r>
      <w:r w:rsidR="00AD4EEC">
        <w:rPr>
          <w:rFonts w:ascii="Times New Roman" w:hAnsi="Times New Roman"/>
          <w:b/>
          <w:bCs/>
        </w:rPr>
        <w:t> :</w:t>
      </w:r>
      <w:r>
        <w:rPr>
          <w:rFonts w:ascii="Times New Roman" w:hAnsi="Times New Roman"/>
          <w:b/>
          <w:bCs/>
        </w:rPr>
        <w:t xml:space="preserve"> </w:t>
      </w:r>
      <w:r>
        <w:rPr>
          <w:rFonts w:ascii="Times New Roman" w:hAnsi="Times New Roman"/>
        </w:rPr>
        <w:t>La situation a beaucoup évolué depuis la création du ROSSP il y a de cela 22</w:t>
      </w:r>
      <w:r w:rsidR="00A4636C">
        <w:rPr>
          <w:rFonts w:ascii="Times New Roman" w:hAnsi="Times New Roman"/>
        </w:rPr>
        <w:t> </w:t>
      </w:r>
      <w:r>
        <w:rPr>
          <w:rFonts w:ascii="Times New Roman" w:hAnsi="Times New Roman"/>
        </w:rPr>
        <w:t>ans, et de nombreux travaux ont été engagés au cours de cette période pour lui permettre d</w:t>
      </w:r>
      <w:r w:rsidR="00AD4EEC">
        <w:rPr>
          <w:rFonts w:ascii="Times New Roman" w:hAnsi="Times New Roman"/>
        </w:rPr>
        <w:t>’</w:t>
      </w:r>
      <w:r>
        <w:rPr>
          <w:rFonts w:ascii="Times New Roman" w:hAnsi="Times New Roman"/>
        </w:rPr>
        <w:t>accomplir sa mission et d</w:t>
      </w:r>
      <w:r w:rsidR="00AD4EEC">
        <w:rPr>
          <w:rFonts w:ascii="Times New Roman" w:hAnsi="Times New Roman"/>
        </w:rPr>
        <w:t>’</w:t>
      </w:r>
      <w:r>
        <w:rPr>
          <w:rFonts w:ascii="Times New Roman" w:hAnsi="Times New Roman"/>
        </w:rPr>
        <w:t>atteindre ses objectifs. Face aux risques émergents de santé publique, tels que les flambées d</w:t>
      </w:r>
      <w:r w:rsidR="00AD4EEC">
        <w:rPr>
          <w:rFonts w:ascii="Times New Roman" w:hAnsi="Times New Roman"/>
        </w:rPr>
        <w:t>’</w:t>
      </w:r>
      <w:r>
        <w:rPr>
          <w:rFonts w:ascii="Times New Roman" w:hAnsi="Times New Roman"/>
        </w:rPr>
        <w:t>épidémies à arboviroses, la résistance aux antimicrobiens, les zoonoses et les risques induits par le changement climatique (intensité de plus en plus forte des catastrophes naturelles et risques sanitaires post-catastrophe, notamment), de nouvelles approches sont nécessaires. En sa qualité de point de contact du Groupe de coordination du ROSSP, la CPS a recommandé en avril 2019 de conduire une évaluation externe du ROSSP et de ses services pour déterminer l</w:t>
      </w:r>
      <w:r w:rsidR="00AD4EEC">
        <w:rPr>
          <w:rFonts w:ascii="Times New Roman" w:hAnsi="Times New Roman"/>
        </w:rPr>
        <w:t>’</w:t>
      </w:r>
      <w:r>
        <w:rPr>
          <w:rFonts w:ascii="Times New Roman" w:hAnsi="Times New Roman"/>
        </w:rPr>
        <w:t>impact de ces services et des stratégies du ROSSP sur le système d</w:t>
      </w:r>
      <w:r w:rsidR="00AD4EEC">
        <w:rPr>
          <w:rFonts w:ascii="Times New Roman" w:hAnsi="Times New Roman"/>
        </w:rPr>
        <w:t>’</w:t>
      </w:r>
      <w:r>
        <w:rPr>
          <w:rFonts w:ascii="Times New Roman" w:hAnsi="Times New Roman"/>
        </w:rPr>
        <w:t>information sanitaire, sur la surveillance de la santé publique et sur la réponse aux épidémies en Océanie, à l</w:t>
      </w:r>
      <w:r w:rsidR="00AD4EEC">
        <w:rPr>
          <w:rFonts w:ascii="Times New Roman" w:hAnsi="Times New Roman"/>
        </w:rPr>
        <w:t>’</w:t>
      </w:r>
      <w:r>
        <w:rPr>
          <w:rFonts w:ascii="Times New Roman" w:hAnsi="Times New Roman"/>
        </w:rPr>
        <w:t>échelle de la région comme des pays. Sera également évaluée la contribution du ROSSP au renforcement de la sécurité sanitaire régionale et à la mise en place des principales capacités nationales requises au titre du Règlement sanitaire international (RSI, 2005). Les résultats de l</w:t>
      </w:r>
      <w:r w:rsidR="00AD4EEC">
        <w:rPr>
          <w:rFonts w:ascii="Times New Roman" w:hAnsi="Times New Roman"/>
        </w:rPr>
        <w:t>’</w:t>
      </w:r>
      <w:r>
        <w:rPr>
          <w:rFonts w:ascii="Times New Roman" w:hAnsi="Times New Roman"/>
        </w:rPr>
        <w:t>évaluation sous-tendront l</w:t>
      </w:r>
      <w:r w:rsidR="00AD4EEC">
        <w:rPr>
          <w:rFonts w:ascii="Times New Roman" w:hAnsi="Times New Roman"/>
        </w:rPr>
        <w:t>’</w:t>
      </w:r>
      <w:r>
        <w:rPr>
          <w:rFonts w:ascii="Times New Roman" w:hAnsi="Times New Roman"/>
        </w:rPr>
        <w:t xml:space="preserve">actualisation du plan stratégique du ROSSP pour les années à venir. </w:t>
      </w:r>
    </w:p>
    <w:p w:rsidR="00A94FA5" w:rsidRPr="006C35DB" w:rsidRDefault="00150F4C" w:rsidP="00A94FA5">
      <w:pPr>
        <w:pStyle w:val="BodyText1"/>
        <w:spacing w:before="240"/>
        <w:ind w:firstLine="0"/>
        <w:jc w:val="left"/>
        <w:rPr>
          <w:rFonts w:eastAsia="Malgun Gothic"/>
          <w:bCs/>
        </w:rPr>
      </w:pPr>
      <w:r>
        <w:rPr>
          <w:b/>
          <w:bCs/>
        </w:rPr>
        <w:t>A2.</w:t>
      </w:r>
      <w:r>
        <w:rPr>
          <w:b/>
          <w:bCs/>
        </w:rPr>
        <w:tab/>
        <w:t>Structure et gouvernance du ROSSP</w:t>
      </w:r>
      <w:r w:rsidR="00AD4EEC">
        <w:rPr>
          <w:b/>
          <w:bCs/>
        </w:rPr>
        <w:t> :</w:t>
      </w:r>
      <w:r>
        <w:rPr>
          <w:b/>
          <w:bCs/>
        </w:rPr>
        <w:t xml:space="preserve"> </w:t>
      </w:r>
      <w:r>
        <w:t>En avril 2019, les directeurs océaniens de la santé ont été informés que la réunion annuelle du ROSSP serait maintenue, mais consisterait désormais en une réunion des directeurs de la santé publique, en lieu et place du niveau de représentation actuel, afin de favoriser une réflexion stratégique sur les questions de santé publique. Lors de leur réunion, les directeurs océaniens de la santé ont par ailleurs noté que la réunion des directeurs de la santé publique serait organisée en marge de la leur et tous les deux ans, en alternance avec la réunion des directeurs des services cliniques.</w:t>
      </w:r>
    </w:p>
    <w:p w:rsidR="00A94FA5" w:rsidRPr="006C35DB" w:rsidRDefault="00150F4C" w:rsidP="00A94FA5">
      <w:pPr>
        <w:pStyle w:val="BodyText1"/>
        <w:spacing w:before="240"/>
        <w:ind w:firstLine="0"/>
        <w:jc w:val="left"/>
        <w:rPr>
          <w:rFonts w:eastAsia="Malgun Gothic"/>
          <w:b/>
          <w:bCs/>
        </w:rPr>
      </w:pPr>
      <w:r>
        <w:rPr>
          <w:b/>
          <w:bCs/>
        </w:rPr>
        <w:t>A3.</w:t>
      </w:r>
      <w:r>
        <w:rPr>
          <w:b/>
          <w:bCs/>
        </w:rPr>
        <w:tab/>
        <w:t>Système océanien de surveillance syndromique</w:t>
      </w:r>
      <w:r w:rsidR="00AD4EEC">
        <w:rPr>
          <w:b/>
          <w:bCs/>
        </w:rPr>
        <w:t> :</w:t>
      </w:r>
      <w:r>
        <w:rPr>
          <w:b/>
          <w:bCs/>
        </w:rPr>
        <w:t xml:space="preserve"> </w:t>
      </w:r>
      <w:r>
        <w:t>Entre 2014 et 2018, 20</w:t>
      </w:r>
      <w:r w:rsidR="005F6A54">
        <w:t> </w:t>
      </w:r>
      <w:r>
        <w:t>États et Territoires insulaires océaniens ont envoyé chaque semaine des données au Système océanien de surveillance syndromique (annexe 1). Au cours de cette période, ont été signalés plus de 21 800 cas de fièvre éruptive, la dernière épidémie de rougeole ayant sévi en 2014 dans la région, plus de 215 000 cas de diarrhées, plus de 512 000 cas de syndrome grippal, 47 526 cas de fièvre prolongée (</w:t>
      </w:r>
      <w:r w:rsidR="00F35CA1">
        <w:t>généralement symptomatique d’une</w:t>
      </w:r>
      <w:r>
        <w:t xml:space="preserve"> fièvre typhoïde </w:t>
      </w:r>
      <w:r w:rsidR="00F35CA1">
        <w:t>ou d’une</w:t>
      </w:r>
      <w:r>
        <w:t xml:space="preserve"> leptospirose) et près de 32 180 cas cliniquement évocateurs de dengue</w:t>
      </w:r>
      <w:r w:rsidR="00A94FA5" w:rsidRPr="006C35DB">
        <w:rPr>
          <w:rStyle w:val="FootnoteReference"/>
          <w:szCs w:val="22"/>
        </w:rPr>
        <w:footnoteReference w:id="2"/>
      </w:r>
      <w:r>
        <w:t xml:space="preserve">. Le système a relevé plusieurs épidémies graves pour la région, de rougeole, de dengue, de </w:t>
      </w:r>
      <w:proofErr w:type="spellStart"/>
      <w:r>
        <w:t>chikungunya</w:t>
      </w:r>
      <w:proofErr w:type="spellEnd"/>
      <w:r>
        <w:t xml:space="preserve">, de virus </w:t>
      </w:r>
      <w:proofErr w:type="spellStart"/>
      <w:r>
        <w:t>Zika</w:t>
      </w:r>
      <w:proofErr w:type="spellEnd"/>
      <w:r>
        <w:t>, de grippe confirmée biologiquement et de leptospirose notamment. Le Système océanien de surveillance syndromique a été évalué en 2011 et 2015.</w:t>
      </w:r>
    </w:p>
    <w:p w:rsidR="00A94FA5" w:rsidRPr="006C35DB" w:rsidRDefault="00150F4C" w:rsidP="00A94FA5">
      <w:pPr>
        <w:pStyle w:val="BodyText1"/>
        <w:spacing w:before="240"/>
        <w:ind w:firstLine="0"/>
        <w:jc w:val="left"/>
      </w:pPr>
      <w:r>
        <w:rPr>
          <w:b/>
          <w:bCs/>
        </w:rPr>
        <w:lastRenderedPageBreak/>
        <w:t>A4.</w:t>
      </w:r>
      <w:r>
        <w:rPr>
          <w:b/>
          <w:bCs/>
        </w:rPr>
        <w:tab/>
      </w:r>
      <w:proofErr w:type="spellStart"/>
      <w:r>
        <w:rPr>
          <w:b/>
          <w:bCs/>
        </w:rPr>
        <w:t>PacNet</w:t>
      </w:r>
      <w:proofErr w:type="spellEnd"/>
      <w:r w:rsidR="00AD4EEC">
        <w:rPr>
          <w:b/>
          <w:bCs/>
        </w:rPr>
        <w:t> :</w:t>
      </w:r>
      <w:r>
        <w:rPr>
          <w:b/>
          <w:bCs/>
        </w:rPr>
        <w:t xml:space="preserve"> </w:t>
      </w:r>
      <w:r>
        <w:t xml:space="preserve">Le nombre de nouveaux abonnés à </w:t>
      </w:r>
      <w:proofErr w:type="spellStart"/>
      <w:r>
        <w:t>PacNet</w:t>
      </w:r>
      <w:proofErr w:type="spellEnd"/>
      <w:r>
        <w:t xml:space="preserve"> s</w:t>
      </w:r>
      <w:r w:rsidR="00AD4EEC">
        <w:t>’</w:t>
      </w:r>
      <w:r>
        <w:t>est élevé à</w:t>
      </w:r>
      <w:r w:rsidR="00C93BBD">
        <w:t> </w:t>
      </w:r>
      <w:r>
        <w:t>126 en 2018 (soit une augmentation de 19 % par rapport à 2016), ce qui fait passer le nombre cumulé d</w:t>
      </w:r>
      <w:r w:rsidR="00AD4EEC">
        <w:t>’</w:t>
      </w:r>
      <w:r>
        <w:t>abonnés à 1 091 depuis la création du réseau. Les États et Territoires insulaires océaniens (69</w:t>
      </w:r>
      <w:r w:rsidR="00092528">
        <w:t> </w:t>
      </w:r>
      <w:r>
        <w:t>%), l</w:t>
      </w:r>
      <w:r w:rsidR="00AD4EEC">
        <w:t>’</w:t>
      </w:r>
      <w:r>
        <w:t>Australie (12</w:t>
      </w:r>
      <w:r w:rsidR="00092528">
        <w:t> </w:t>
      </w:r>
      <w:r>
        <w:t>%), les États-Unis (7</w:t>
      </w:r>
      <w:r w:rsidR="00092528">
        <w:t> </w:t>
      </w:r>
      <w:r>
        <w:t>%) et la Nouvelle-Zélande (6</w:t>
      </w:r>
      <w:r w:rsidR="00092528">
        <w:t> </w:t>
      </w:r>
      <w:r>
        <w:t xml:space="preserve">%) sont les principaux pays représentés parmi les abonnés. Plus de 8 700 alertes et rapports sur des épidémies et des maladies émergentes ont été partagés sur </w:t>
      </w:r>
      <w:proofErr w:type="spellStart"/>
      <w:r>
        <w:t>PacNet</w:t>
      </w:r>
      <w:proofErr w:type="spellEnd"/>
      <w:r>
        <w:t>. Entre 2016 et 2018, le nombre d</w:t>
      </w:r>
      <w:r w:rsidR="00AD4EEC">
        <w:t>’</w:t>
      </w:r>
      <w:r>
        <w:t xml:space="preserve">États et Territoires insulaires océaniens confrontés à des flambées et publiant des rapports sur </w:t>
      </w:r>
      <w:proofErr w:type="spellStart"/>
      <w:r>
        <w:t>PacNet</w:t>
      </w:r>
      <w:proofErr w:type="spellEnd"/>
      <w:r>
        <w:t xml:space="preserve"> a augmenté de 91 % (ils étaient 35 % en</w:t>
      </w:r>
      <w:r w:rsidR="00B32778">
        <w:t> </w:t>
      </w:r>
      <w:r>
        <w:t xml:space="preserve">2016 contre 67 % en 2018). </w:t>
      </w:r>
    </w:p>
    <w:p w:rsidR="00A94FA5" w:rsidRPr="006C35DB" w:rsidRDefault="00150F4C" w:rsidP="00A94FA5">
      <w:pPr>
        <w:spacing w:before="240" w:after="240" w:line="360" w:lineRule="auto"/>
        <w:rPr>
          <w:rFonts w:ascii="Times New Roman" w:hAnsi="Times New Roman" w:cs="Times New Roman"/>
        </w:rPr>
      </w:pPr>
      <w:r>
        <w:rPr>
          <w:rFonts w:ascii="Times New Roman" w:hAnsi="Times New Roman"/>
          <w:b/>
          <w:bCs/>
        </w:rPr>
        <w:t>A5.</w:t>
      </w:r>
      <w:r>
        <w:rPr>
          <w:rFonts w:ascii="Times New Roman" w:hAnsi="Times New Roman"/>
          <w:b/>
          <w:bCs/>
        </w:rPr>
        <w:tab/>
        <w:t>LabNet</w:t>
      </w:r>
      <w:r w:rsidR="00AD4EEC">
        <w:rPr>
          <w:rFonts w:ascii="Times New Roman" w:hAnsi="Times New Roman"/>
          <w:b/>
          <w:bCs/>
        </w:rPr>
        <w:t> :</w:t>
      </w:r>
      <w:r>
        <w:rPr>
          <w:rFonts w:ascii="Times New Roman" w:hAnsi="Times New Roman"/>
          <w:b/>
          <w:bCs/>
        </w:rPr>
        <w:t xml:space="preserve"> </w:t>
      </w:r>
      <w:r>
        <w:rPr>
          <w:rFonts w:ascii="Times New Roman" w:hAnsi="Times New Roman"/>
        </w:rPr>
        <w:t>L</w:t>
      </w:r>
      <w:r w:rsidR="00AD4EEC">
        <w:rPr>
          <w:rFonts w:ascii="Times New Roman" w:hAnsi="Times New Roman"/>
        </w:rPr>
        <w:t>’</w:t>
      </w:r>
      <w:r>
        <w:rPr>
          <w:rFonts w:ascii="Times New Roman" w:hAnsi="Times New Roman"/>
        </w:rPr>
        <w:t>assistance technique aux laboratoires et les évaluations menées dans le cadre du système de gestion de la qualité des laboratoires entre 2015 et 2018 ont mis en lumière des niveaux variables de gestion de la qualité et de développement de services (annexe 2). Pour l</w:t>
      </w:r>
      <w:r w:rsidR="00AD4EEC">
        <w:rPr>
          <w:rFonts w:ascii="Times New Roman" w:hAnsi="Times New Roman"/>
        </w:rPr>
        <w:t>’</w:t>
      </w:r>
      <w:r>
        <w:rPr>
          <w:rFonts w:ascii="Times New Roman" w:hAnsi="Times New Roman"/>
        </w:rPr>
        <w:t>heure, seuls cinq des 29 laboratoires des pays océaniens sont en passe d</w:t>
      </w:r>
      <w:r w:rsidR="00AD4EEC">
        <w:rPr>
          <w:rFonts w:ascii="Times New Roman" w:hAnsi="Times New Roman"/>
        </w:rPr>
        <w:t>’</w:t>
      </w:r>
      <w:r>
        <w:rPr>
          <w:rFonts w:ascii="Times New Roman" w:hAnsi="Times New Roman"/>
        </w:rPr>
        <w:t>obtenir l</w:t>
      </w:r>
      <w:r w:rsidR="00AD4EEC">
        <w:rPr>
          <w:rFonts w:ascii="Times New Roman" w:hAnsi="Times New Roman"/>
        </w:rPr>
        <w:t>’</w:t>
      </w:r>
      <w:r>
        <w:rPr>
          <w:rFonts w:ascii="Times New Roman" w:hAnsi="Times New Roman"/>
        </w:rPr>
        <w:t>accréditation internationale d</w:t>
      </w:r>
      <w:r w:rsidR="00AD4EEC">
        <w:rPr>
          <w:rFonts w:ascii="Times New Roman" w:hAnsi="Times New Roman"/>
        </w:rPr>
        <w:t>’</w:t>
      </w:r>
      <w:r>
        <w:rPr>
          <w:rFonts w:ascii="Times New Roman" w:hAnsi="Times New Roman"/>
        </w:rPr>
        <w:t>ici la fin de 2020. Une stratégie pour l</w:t>
      </w:r>
      <w:r w:rsidR="00AD4EEC">
        <w:rPr>
          <w:rFonts w:ascii="Times New Roman" w:hAnsi="Times New Roman"/>
        </w:rPr>
        <w:t>’</w:t>
      </w:r>
      <w:r>
        <w:rPr>
          <w:rFonts w:ascii="Times New Roman" w:hAnsi="Times New Roman"/>
        </w:rPr>
        <w:t>Asie et le Pacifique élaborée par l</w:t>
      </w:r>
      <w:r w:rsidR="00AD4EEC">
        <w:rPr>
          <w:rFonts w:ascii="Times New Roman" w:hAnsi="Times New Roman"/>
        </w:rPr>
        <w:t>’</w:t>
      </w:r>
      <w:r>
        <w:rPr>
          <w:rFonts w:ascii="Times New Roman" w:hAnsi="Times New Roman"/>
        </w:rPr>
        <w:t>OMS pour la période 2010–2015 n</w:t>
      </w:r>
      <w:r w:rsidR="00AD4EEC">
        <w:rPr>
          <w:rFonts w:ascii="Times New Roman" w:hAnsi="Times New Roman"/>
        </w:rPr>
        <w:t>’</w:t>
      </w:r>
      <w:r>
        <w:rPr>
          <w:rFonts w:ascii="Times New Roman" w:hAnsi="Times New Roman"/>
        </w:rPr>
        <w:t>a toujours pas été pleinement mise en œuvre, et ses résultats se faisaient toujours attendre en 2019. Les laboratoires des Îles Cook, de Nauru, du Samoa, des Tonga et de Vanuatu vont bientôt être pleinement conformes à la norme ISO</w:t>
      </w:r>
      <w:r w:rsidR="00BF3A7C">
        <w:rPr>
          <w:rFonts w:ascii="Times New Roman" w:hAnsi="Times New Roman"/>
        </w:rPr>
        <w:t> </w:t>
      </w:r>
      <w:r>
        <w:rPr>
          <w:rFonts w:ascii="Times New Roman" w:hAnsi="Times New Roman"/>
        </w:rPr>
        <w:t>15189 pour les laboratoires de biologie médicale, montrant ainsi la voie à suivre pour obtenir l</w:t>
      </w:r>
      <w:r w:rsidR="00AD4EEC">
        <w:rPr>
          <w:rFonts w:ascii="Times New Roman" w:hAnsi="Times New Roman"/>
        </w:rPr>
        <w:t>’</w:t>
      </w:r>
      <w:r>
        <w:rPr>
          <w:rFonts w:ascii="Times New Roman" w:hAnsi="Times New Roman"/>
        </w:rPr>
        <w:t>accréditation internationale.</w:t>
      </w:r>
    </w:p>
    <w:p w:rsidR="00A94FA5" w:rsidRPr="006C35DB" w:rsidRDefault="00A94FA5" w:rsidP="00A94FA5">
      <w:pPr>
        <w:spacing w:before="240" w:after="240" w:line="360" w:lineRule="auto"/>
        <w:ind w:firstLine="720"/>
        <w:rPr>
          <w:rFonts w:ascii="Times New Roman" w:hAnsi="Times New Roman" w:cs="Times New Roman"/>
        </w:rPr>
      </w:pPr>
      <w:r>
        <w:rPr>
          <w:rFonts w:ascii="Times New Roman" w:hAnsi="Times New Roman"/>
        </w:rPr>
        <w:t>La CPS a signé un protocole d</w:t>
      </w:r>
      <w:r w:rsidR="00AD4EEC">
        <w:rPr>
          <w:rFonts w:ascii="Times New Roman" w:hAnsi="Times New Roman"/>
        </w:rPr>
        <w:t>’</w:t>
      </w:r>
      <w:r>
        <w:rPr>
          <w:rFonts w:ascii="Times New Roman" w:hAnsi="Times New Roman"/>
        </w:rPr>
        <w:t>accord avec quatre laboratoires océaniens L2 de référence</w:t>
      </w:r>
      <w:r w:rsidRPr="00740C24">
        <w:rPr>
          <w:rStyle w:val="FootnoteReference"/>
          <w:rFonts w:ascii="Times New Roman" w:hAnsi="Times New Roman" w:cs="Times New Roman"/>
        </w:rPr>
        <w:footnoteReference w:id="3"/>
      </w:r>
      <w:r>
        <w:rPr>
          <w:rFonts w:ascii="Times New Roman" w:hAnsi="Times New Roman"/>
        </w:rPr>
        <w:t>. Le texte définit les modalités de coopération de ces laboratoires L2 de référence avec la CPS et le ROSSP, ainsi que l</w:t>
      </w:r>
      <w:r w:rsidR="00AD4EEC">
        <w:rPr>
          <w:rFonts w:ascii="Times New Roman" w:hAnsi="Times New Roman"/>
        </w:rPr>
        <w:t>’</w:t>
      </w:r>
      <w:r>
        <w:rPr>
          <w:rFonts w:ascii="Times New Roman" w:hAnsi="Times New Roman"/>
        </w:rPr>
        <w:t>assistance qu</w:t>
      </w:r>
      <w:r w:rsidR="00AD4EEC">
        <w:rPr>
          <w:rFonts w:ascii="Times New Roman" w:hAnsi="Times New Roman"/>
        </w:rPr>
        <w:t>’</w:t>
      </w:r>
      <w:r>
        <w:rPr>
          <w:rFonts w:ascii="Times New Roman" w:hAnsi="Times New Roman"/>
        </w:rPr>
        <w:t xml:space="preserve">ils prêteront à ces deux acteurs pour renforcer les capacités des services de laboratoire en Océanie (annexe 3). </w:t>
      </w:r>
    </w:p>
    <w:p w:rsidR="00A94FA5" w:rsidRPr="006C35DB" w:rsidRDefault="00150F4C" w:rsidP="00A94FA5">
      <w:pPr>
        <w:spacing w:before="240" w:after="240" w:line="360" w:lineRule="auto"/>
        <w:rPr>
          <w:rFonts w:ascii="Times New Roman" w:hAnsi="Times New Roman" w:cs="Times New Roman"/>
        </w:rPr>
      </w:pPr>
      <w:r>
        <w:rPr>
          <w:rFonts w:ascii="Times New Roman" w:hAnsi="Times New Roman"/>
          <w:b/>
          <w:bCs/>
        </w:rPr>
        <w:t>A6.</w:t>
      </w:r>
      <w:r>
        <w:rPr>
          <w:rFonts w:ascii="Times New Roman" w:hAnsi="Times New Roman"/>
          <w:b/>
          <w:bCs/>
        </w:rPr>
        <w:tab/>
        <w:t>EpiNet</w:t>
      </w:r>
      <w:r w:rsidR="00AD4EEC">
        <w:rPr>
          <w:rFonts w:ascii="Times New Roman" w:hAnsi="Times New Roman"/>
          <w:b/>
          <w:bCs/>
        </w:rPr>
        <w:t> :</w:t>
      </w:r>
      <w:r>
        <w:rPr>
          <w:rFonts w:ascii="Times New Roman" w:hAnsi="Times New Roman"/>
          <w:b/>
          <w:bCs/>
        </w:rPr>
        <w:t xml:space="preserve"> </w:t>
      </w:r>
      <w:r>
        <w:rPr>
          <w:rFonts w:ascii="Times New Roman" w:hAnsi="Times New Roman"/>
        </w:rPr>
        <w:t>On dénombre 25</w:t>
      </w:r>
      <w:r w:rsidR="00814294">
        <w:rPr>
          <w:rFonts w:ascii="Times New Roman" w:hAnsi="Times New Roman"/>
        </w:rPr>
        <w:t> </w:t>
      </w:r>
      <w:r>
        <w:rPr>
          <w:rFonts w:ascii="Times New Roman" w:hAnsi="Times New Roman"/>
        </w:rPr>
        <w:t>équipes EpiNet nationales et territoriales</w:t>
      </w:r>
      <w:r w:rsidR="00A94FA5" w:rsidRPr="006C35DB">
        <w:rPr>
          <w:rStyle w:val="FootnoteReference"/>
          <w:rFonts w:ascii="Times New Roman" w:hAnsi="Times New Roman" w:cs="Times New Roman"/>
        </w:rPr>
        <w:footnoteReference w:id="4"/>
      </w:r>
      <w:r>
        <w:rPr>
          <w:rFonts w:ascii="Times New Roman" w:hAnsi="Times New Roman"/>
        </w:rPr>
        <w:t>, représentées par des correspondants nationaux dans cinq catégories</w:t>
      </w:r>
      <w:r w:rsidR="00A94FA5" w:rsidRPr="006C35DB">
        <w:rPr>
          <w:rStyle w:val="FootnoteReference"/>
          <w:rFonts w:ascii="Times New Roman" w:hAnsi="Times New Roman" w:cs="Times New Roman"/>
        </w:rPr>
        <w:footnoteReference w:id="5"/>
      </w:r>
      <w:r>
        <w:rPr>
          <w:rFonts w:ascii="Times New Roman" w:hAnsi="Times New Roman"/>
        </w:rPr>
        <w:t>. Lors de la réunion du Groupe de coordination du ROSSP tenue en 2019, il a été proposé d</w:t>
      </w:r>
      <w:r w:rsidR="00AD4EEC">
        <w:rPr>
          <w:rFonts w:ascii="Times New Roman" w:hAnsi="Times New Roman"/>
        </w:rPr>
        <w:t>’</w:t>
      </w:r>
      <w:r>
        <w:rPr>
          <w:rFonts w:ascii="Times New Roman" w:hAnsi="Times New Roman"/>
        </w:rPr>
        <w:t xml:space="preserve">ajouter une catégorie supplémentaire (gestion des catastrophes).  </w:t>
      </w:r>
    </w:p>
    <w:p w:rsidR="00A94FA5" w:rsidRPr="006C35DB" w:rsidRDefault="00150F4C" w:rsidP="00A94FA5">
      <w:pPr>
        <w:spacing w:before="240" w:after="240" w:line="360" w:lineRule="auto"/>
        <w:rPr>
          <w:rFonts w:ascii="Times New Roman" w:hAnsi="Times New Roman" w:cs="Times New Roman"/>
        </w:rPr>
      </w:pPr>
      <w:r>
        <w:rPr>
          <w:rFonts w:ascii="Times New Roman" w:hAnsi="Times New Roman"/>
          <w:b/>
          <w:bCs/>
        </w:rPr>
        <w:t>A7.</w:t>
      </w:r>
      <w:r>
        <w:rPr>
          <w:rFonts w:ascii="Times New Roman" w:hAnsi="Times New Roman"/>
          <w:b/>
          <w:bCs/>
        </w:rPr>
        <w:tab/>
        <w:t>PICNet</w:t>
      </w:r>
      <w:r w:rsidR="00AD4EEC">
        <w:rPr>
          <w:rFonts w:ascii="Times New Roman" w:hAnsi="Times New Roman"/>
          <w:b/>
          <w:bCs/>
        </w:rPr>
        <w:t> :</w:t>
      </w:r>
      <w:r>
        <w:rPr>
          <w:rFonts w:ascii="Times New Roman" w:hAnsi="Times New Roman"/>
          <w:b/>
          <w:bCs/>
        </w:rPr>
        <w:t xml:space="preserve"> </w:t>
      </w:r>
      <w:r>
        <w:rPr>
          <w:rFonts w:ascii="Times New Roman" w:hAnsi="Times New Roman"/>
        </w:rPr>
        <w:t>En tant qu</w:t>
      </w:r>
      <w:r w:rsidR="00AD4EEC">
        <w:rPr>
          <w:rFonts w:ascii="Times New Roman" w:hAnsi="Times New Roman"/>
        </w:rPr>
        <w:t>’</w:t>
      </w:r>
      <w:r>
        <w:rPr>
          <w:rFonts w:ascii="Times New Roman" w:hAnsi="Times New Roman"/>
        </w:rPr>
        <w:t>élément essentiel de la lutte contre les infections, les recommandations régionales en matière de prévention et de lutte anti-infectieuse sont en train d</w:t>
      </w:r>
      <w:r w:rsidR="00AD4EEC">
        <w:rPr>
          <w:rFonts w:ascii="Times New Roman" w:hAnsi="Times New Roman"/>
        </w:rPr>
        <w:t>’</w:t>
      </w:r>
      <w:r>
        <w:rPr>
          <w:rFonts w:ascii="Times New Roman" w:hAnsi="Times New Roman"/>
        </w:rPr>
        <w:t>être actualisées. Trois États ou Territoires insulaires océaniens</w:t>
      </w:r>
      <w:r w:rsidR="00A94FA5" w:rsidRPr="00740C24">
        <w:rPr>
          <w:rStyle w:val="FootnoteReference"/>
          <w:rFonts w:ascii="Times New Roman" w:hAnsi="Times New Roman" w:cs="Times New Roman"/>
        </w:rPr>
        <w:footnoteReference w:id="6"/>
      </w:r>
      <w:r>
        <w:rPr>
          <w:rFonts w:ascii="Times New Roman" w:hAnsi="Times New Roman"/>
        </w:rPr>
        <w:t xml:space="preserve"> ont bénéficié d</w:t>
      </w:r>
      <w:r w:rsidR="00AD4EEC">
        <w:rPr>
          <w:rFonts w:ascii="Times New Roman" w:hAnsi="Times New Roman"/>
        </w:rPr>
        <w:t>’</w:t>
      </w:r>
      <w:r>
        <w:rPr>
          <w:rFonts w:ascii="Times New Roman" w:hAnsi="Times New Roman"/>
        </w:rPr>
        <w:t>une assistance pour mettre à jour leurs recommandations nationales en la matière, profitant en parallèle d</w:t>
      </w:r>
      <w:r w:rsidR="00AD4EEC">
        <w:rPr>
          <w:rFonts w:ascii="Times New Roman" w:hAnsi="Times New Roman"/>
        </w:rPr>
        <w:t>’</w:t>
      </w:r>
      <w:r>
        <w:rPr>
          <w:rFonts w:ascii="Times New Roman" w:hAnsi="Times New Roman"/>
        </w:rPr>
        <w:t>une formation sur la façon d</w:t>
      </w:r>
      <w:r w:rsidR="00AD4EEC">
        <w:rPr>
          <w:rFonts w:ascii="Times New Roman" w:hAnsi="Times New Roman"/>
        </w:rPr>
        <w:t>’</w:t>
      </w:r>
      <w:r>
        <w:rPr>
          <w:rFonts w:ascii="Times New Roman" w:hAnsi="Times New Roman"/>
        </w:rPr>
        <w:t>enfiler et de retirer l</w:t>
      </w:r>
      <w:r w:rsidR="00AD4EEC">
        <w:rPr>
          <w:rFonts w:ascii="Times New Roman" w:hAnsi="Times New Roman"/>
        </w:rPr>
        <w:t>’</w:t>
      </w:r>
      <w:r>
        <w:rPr>
          <w:rFonts w:ascii="Times New Roman" w:hAnsi="Times New Roman"/>
        </w:rPr>
        <w:t xml:space="preserve">équipement de protection individuelle. </w:t>
      </w:r>
    </w:p>
    <w:p w:rsidR="00A94FA5" w:rsidRPr="006C35DB" w:rsidRDefault="00150F4C" w:rsidP="00A94FA5">
      <w:pPr>
        <w:spacing w:before="240" w:after="240" w:line="360" w:lineRule="auto"/>
        <w:rPr>
          <w:rFonts w:ascii="Times New Roman" w:hAnsi="Times New Roman" w:cs="Times New Roman"/>
        </w:rPr>
      </w:pPr>
      <w:r>
        <w:rPr>
          <w:rFonts w:ascii="Times New Roman" w:hAnsi="Times New Roman"/>
          <w:b/>
          <w:bCs/>
        </w:rPr>
        <w:lastRenderedPageBreak/>
        <w:t>A8.</w:t>
      </w:r>
      <w:r>
        <w:rPr>
          <w:rFonts w:ascii="Times New Roman" w:hAnsi="Times New Roman"/>
          <w:b/>
          <w:bCs/>
        </w:rPr>
        <w:tab/>
        <w:t>SHIP/DDM</w:t>
      </w:r>
      <w:r w:rsidR="00AD4EEC">
        <w:rPr>
          <w:rFonts w:ascii="Times New Roman" w:hAnsi="Times New Roman"/>
          <w:b/>
          <w:bCs/>
        </w:rPr>
        <w:t> :</w:t>
      </w:r>
      <w:r>
        <w:rPr>
          <w:rFonts w:ascii="Times New Roman" w:hAnsi="Times New Roman"/>
          <w:bCs/>
        </w:rPr>
        <w:t xml:space="preserve"> En janvier 2019, l</w:t>
      </w:r>
      <w:r w:rsidR="00AD4EEC">
        <w:rPr>
          <w:rFonts w:ascii="Times New Roman" w:hAnsi="Times New Roman"/>
          <w:bCs/>
        </w:rPr>
        <w:t>’</w:t>
      </w:r>
      <w:r>
        <w:rPr>
          <w:rFonts w:ascii="Times New Roman" w:hAnsi="Times New Roman"/>
          <w:bCs/>
        </w:rPr>
        <w:t xml:space="preserve">Université nationale des Fidji a reconnu au plan universitaire le programme SHIP sur trois niveaux de formation. Le programme SHIP/DDM est mis en œuvre grâce aux membres statutaires et associés du ROSSP. </w:t>
      </w:r>
      <w:r>
        <w:rPr>
          <w:rFonts w:ascii="Times New Roman" w:hAnsi="Times New Roman"/>
        </w:rPr>
        <w:t>Fin 2018, 249 fonctionnaires des services de santé de 17 États et Territoires insulaires océaniens ont terminé au moins un des cinq modules du cursus PGCFE</w:t>
      </w:r>
      <w:r w:rsidR="00A94FA5" w:rsidRPr="006C35DB">
        <w:rPr>
          <w:rStyle w:val="FootnoteReference"/>
          <w:rFonts w:ascii="Times New Roman" w:hAnsi="Times New Roman" w:cs="Times New Roman"/>
        </w:rPr>
        <w:footnoteReference w:id="7"/>
      </w:r>
      <w:r>
        <w:rPr>
          <w:rFonts w:ascii="Times New Roman" w:hAnsi="Times New Roman"/>
        </w:rPr>
        <w:t>. Huit se sont vu remettre officiellement le certificat correspondant au programme en</w:t>
      </w:r>
      <w:r w:rsidR="00C262C3">
        <w:rPr>
          <w:rFonts w:ascii="Times New Roman" w:hAnsi="Times New Roman"/>
        </w:rPr>
        <w:t> </w:t>
      </w:r>
      <w:r>
        <w:rPr>
          <w:rFonts w:ascii="Times New Roman" w:hAnsi="Times New Roman"/>
        </w:rPr>
        <w:t>2016. Jouissant de l</w:t>
      </w:r>
      <w:r w:rsidR="00AD4EEC">
        <w:rPr>
          <w:rFonts w:ascii="Times New Roman" w:hAnsi="Times New Roman"/>
        </w:rPr>
        <w:t>’</w:t>
      </w:r>
      <w:r>
        <w:rPr>
          <w:rFonts w:ascii="Times New Roman" w:hAnsi="Times New Roman"/>
        </w:rPr>
        <w:t>appui financier de bailleurs de fonds, la mise en œuvre du cursus PGCFE s</w:t>
      </w:r>
      <w:r w:rsidR="00AD4EEC">
        <w:rPr>
          <w:rFonts w:ascii="Times New Roman" w:hAnsi="Times New Roman"/>
        </w:rPr>
        <w:t>’</w:t>
      </w:r>
      <w:r>
        <w:rPr>
          <w:rFonts w:ascii="Times New Roman" w:hAnsi="Times New Roman"/>
        </w:rPr>
        <w:t>est accélérée depuis 2017. Quarante-six pour cent (115/249) des personnes inscrites ont suivi l</w:t>
      </w:r>
      <w:r w:rsidR="00AD4EEC">
        <w:rPr>
          <w:rFonts w:ascii="Times New Roman" w:hAnsi="Times New Roman"/>
        </w:rPr>
        <w:t>’</w:t>
      </w:r>
      <w:r>
        <w:rPr>
          <w:rFonts w:ascii="Times New Roman" w:hAnsi="Times New Roman"/>
        </w:rPr>
        <w:t>ensemble des cinq modules et pourront obtenir leur certificat fin 2019, sous réserve qu</w:t>
      </w:r>
      <w:r w:rsidR="00AD4EEC">
        <w:rPr>
          <w:rFonts w:ascii="Times New Roman" w:hAnsi="Times New Roman"/>
        </w:rPr>
        <w:t>’</w:t>
      </w:r>
      <w:r>
        <w:rPr>
          <w:rFonts w:ascii="Times New Roman" w:hAnsi="Times New Roman"/>
        </w:rPr>
        <w:t>elles présentent les pièces universitaires obligatoires. Les fonctionnaires des services de santé qui suivent la formation</w:t>
      </w:r>
      <w:r w:rsidR="000B6A94">
        <w:rPr>
          <w:rFonts w:ascii="Times New Roman" w:hAnsi="Times New Roman"/>
        </w:rPr>
        <w:t> </w:t>
      </w:r>
      <w:r>
        <w:rPr>
          <w:rFonts w:ascii="Times New Roman" w:hAnsi="Times New Roman"/>
        </w:rPr>
        <w:t>DDM/PGCFE mettent également en œuvre des projets d</w:t>
      </w:r>
      <w:r w:rsidR="00AD4EEC">
        <w:rPr>
          <w:rFonts w:ascii="Times New Roman" w:hAnsi="Times New Roman"/>
        </w:rPr>
        <w:t>’</w:t>
      </w:r>
      <w:r>
        <w:rPr>
          <w:rFonts w:ascii="Times New Roman" w:hAnsi="Times New Roman"/>
        </w:rPr>
        <w:t>amélioration des systèmes considérés comme prioritaires par les autorités de santé. Conformément aux recommandations émises par les directeurs océaniens de la santé lors d</w:t>
      </w:r>
      <w:r w:rsidR="00AD4EEC">
        <w:rPr>
          <w:rFonts w:ascii="Times New Roman" w:hAnsi="Times New Roman"/>
        </w:rPr>
        <w:t>’</w:t>
      </w:r>
      <w:r>
        <w:rPr>
          <w:rFonts w:ascii="Times New Roman" w:hAnsi="Times New Roman"/>
        </w:rPr>
        <w:t>une réunion en 2018, l</w:t>
      </w:r>
      <w:r w:rsidR="00AD4EEC">
        <w:rPr>
          <w:rFonts w:ascii="Times New Roman" w:hAnsi="Times New Roman"/>
        </w:rPr>
        <w:t>’</w:t>
      </w:r>
      <w:r>
        <w:rPr>
          <w:rFonts w:ascii="Times New Roman" w:hAnsi="Times New Roman"/>
        </w:rPr>
        <w:t xml:space="preserve">Université nationale des Fidji a accordé une certaine flexibilité dans la mise en œuvre du cursus PGCFE. </w:t>
      </w:r>
    </w:p>
    <w:p w:rsidR="00A94FA5" w:rsidRPr="00A94FA5" w:rsidRDefault="00150F4C" w:rsidP="0017197C">
      <w:pPr>
        <w:spacing w:before="480" w:after="480" w:line="360" w:lineRule="auto"/>
        <w:rPr>
          <w:rFonts w:ascii="Times New Roman" w:eastAsia="Malgun Gothic" w:hAnsi="Times New Roman" w:cs="Times New Roman"/>
          <w:b/>
          <w:u w:val="single"/>
        </w:rPr>
      </w:pPr>
      <w:r>
        <w:rPr>
          <w:rFonts w:ascii="Times New Roman" w:hAnsi="Times New Roman"/>
          <w:b/>
          <w:u w:val="single"/>
        </w:rPr>
        <w:t>B. Difficultés de mise en œuvre rencontrées</w:t>
      </w:r>
      <w:r w:rsidR="00AD4EEC">
        <w:rPr>
          <w:rFonts w:ascii="Times New Roman" w:hAnsi="Times New Roman"/>
          <w:b/>
          <w:u w:val="single"/>
        </w:rPr>
        <w:t> :</w:t>
      </w:r>
    </w:p>
    <w:p w:rsidR="00A94FA5" w:rsidRDefault="00150F4C" w:rsidP="00A94FA5">
      <w:pPr>
        <w:spacing w:before="240" w:after="240" w:line="360" w:lineRule="auto"/>
        <w:rPr>
          <w:rFonts w:ascii="Times New Roman" w:hAnsi="Times New Roman" w:cs="Times New Roman"/>
        </w:rPr>
      </w:pPr>
      <w:r>
        <w:rPr>
          <w:rFonts w:ascii="Times New Roman" w:hAnsi="Times New Roman"/>
          <w:b/>
        </w:rPr>
        <w:t>B1.</w:t>
      </w:r>
      <w:r>
        <w:rPr>
          <w:rFonts w:ascii="Times New Roman" w:hAnsi="Times New Roman"/>
          <w:b/>
        </w:rPr>
        <w:tab/>
        <w:t>Système océanien de surveillance syndromique</w:t>
      </w:r>
      <w:r w:rsidR="00AD4EEC">
        <w:rPr>
          <w:rFonts w:ascii="Times New Roman" w:hAnsi="Times New Roman"/>
          <w:b/>
        </w:rPr>
        <w:t> :</w:t>
      </w:r>
      <w:r>
        <w:rPr>
          <w:rFonts w:ascii="Times New Roman" w:hAnsi="Times New Roman"/>
          <w:b/>
        </w:rPr>
        <w:t xml:space="preserve"> </w:t>
      </w:r>
      <w:r>
        <w:rPr>
          <w:rFonts w:ascii="Times New Roman" w:hAnsi="Times New Roman"/>
        </w:rPr>
        <w:t>En 2017, le Système océanien de surveillance syndromique a mis en place une plateforme électronique d</w:t>
      </w:r>
      <w:r w:rsidR="00AD4EEC">
        <w:rPr>
          <w:rFonts w:ascii="Times New Roman" w:hAnsi="Times New Roman"/>
        </w:rPr>
        <w:t>’</w:t>
      </w:r>
      <w:r>
        <w:rPr>
          <w:rFonts w:ascii="Times New Roman" w:hAnsi="Times New Roman"/>
        </w:rPr>
        <w:t>alerte et d</w:t>
      </w:r>
      <w:r w:rsidR="00AD4EEC">
        <w:rPr>
          <w:rFonts w:ascii="Times New Roman" w:hAnsi="Times New Roman"/>
        </w:rPr>
        <w:t>’</w:t>
      </w:r>
      <w:r>
        <w:rPr>
          <w:rFonts w:ascii="Times New Roman" w:hAnsi="Times New Roman"/>
        </w:rPr>
        <w:t>intervention rapide (EWARS) pour visualiser les données en temps réel. Les systèmes nationaux de surveillance syndromique des Fidji, des Îles Salomon, des Tonga et de Vanuatu reposent eux aussi sur cette plateforme. Le Groupe de coordination du ROSSP a insisté sur la nécessité de réviser la liste des syndromes et définitions de cas pour tenir compte des maladies émergentes, et a renforcé les capacités de surveillance dans la région. Les participants à la réunion régionale du ROSSP tenue en juin 2019 ont convenu d</w:t>
      </w:r>
      <w:r w:rsidR="00AD4EEC">
        <w:rPr>
          <w:rFonts w:ascii="Times New Roman" w:hAnsi="Times New Roman"/>
        </w:rPr>
        <w:t>’</w:t>
      </w:r>
      <w:r>
        <w:rPr>
          <w:rFonts w:ascii="Times New Roman" w:hAnsi="Times New Roman"/>
        </w:rPr>
        <w:t>étendre les activités de surveillance conduites par le ROSSP</w:t>
      </w:r>
      <w:r w:rsidR="00DA292E">
        <w:rPr>
          <w:rFonts w:ascii="Times New Roman" w:hAnsi="Times New Roman"/>
        </w:rPr>
        <w:t xml:space="preserve"> </w:t>
      </w:r>
      <w:r w:rsidR="009C6A20">
        <w:rPr>
          <w:rFonts w:ascii="Times New Roman" w:hAnsi="Times New Roman"/>
        </w:rPr>
        <w:t>–</w:t>
      </w:r>
      <w:r w:rsidR="00E86500">
        <w:rPr>
          <w:rFonts w:ascii="Times New Roman" w:hAnsi="Times New Roman"/>
        </w:rPr>
        <w:t> </w:t>
      </w:r>
      <w:r>
        <w:rPr>
          <w:rFonts w:ascii="Times New Roman" w:hAnsi="Times New Roman"/>
        </w:rPr>
        <w:t>qui se limitaient jusqu</w:t>
      </w:r>
      <w:r w:rsidR="00AD4EEC">
        <w:rPr>
          <w:rFonts w:ascii="Times New Roman" w:hAnsi="Times New Roman"/>
        </w:rPr>
        <w:t>’</w:t>
      </w:r>
      <w:r>
        <w:rPr>
          <w:rFonts w:ascii="Times New Roman" w:hAnsi="Times New Roman"/>
        </w:rPr>
        <w:t>alors à la surveillance syndromique</w:t>
      </w:r>
      <w:r w:rsidR="00E86500">
        <w:rPr>
          <w:rFonts w:ascii="Times New Roman" w:hAnsi="Times New Roman"/>
        </w:rPr>
        <w:t xml:space="preserve"> – </w:t>
      </w:r>
      <w:r>
        <w:rPr>
          <w:rFonts w:ascii="Times New Roman" w:hAnsi="Times New Roman"/>
        </w:rPr>
        <w:t>à la surveillance des événements de santé, la surveillance en milieu hospitalier, la surveillance de la résistance aux antimicrobiens, la surveillance en laboratoire, la surveillance des maladies à déclaration obligatoire, la surveillance des vecteurs et la carte d</w:t>
      </w:r>
      <w:r w:rsidR="00AD4EEC">
        <w:rPr>
          <w:rFonts w:ascii="Times New Roman" w:hAnsi="Times New Roman"/>
        </w:rPr>
        <w:t>’</w:t>
      </w:r>
      <w:r>
        <w:rPr>
          <w:rFonts w:ascii="Times New Roman" w:hAnsi="Times New Roman"/>
        </w:rPr>
        <w:t>alertes.</w:t>
      </w:r>
    </w:p>
    <w:p w:rsidR="00A94FA5" w:rsidRDefault="00150F4C" w:rsidP="00A94FA5">
      <w:pPr>
        <w:spacing w:before="240" w:after="240" w:line="360" w:lineRule="auto"/>
        <w:rPr>
          <w:rFonts w:ascii="Times New Roman" w:hAnsi="Times New Roman" w:cs="Times New Roman"/>
        </w:rPr>
      </w:pPr>
      <w:r>
        <w:rPr>
          <w:rFonts w:ascii="Times New Roman" w:hAnsi="Times New Roman"/>
          <w:b/>
        </w:rPr>
        <w:t>B2.</w:t>
      </w:r>
      <w:r>
        <w:rPr>
          <w:rFonts w:ascii="Times New Roman" w:hAnsi="Times New Roman"/>
          <w:b/>
        </w:rPr>
        <w:tab/>
      </w:r>
      <w:proofErr w:type="spellStart"/>
      <w:r>
        <w:rPr>
          <w:rFonts w:ascii="Times New Roman" w:hAnsi="Times New Roman"/>
          <w:b/>
          <w:bCs/>
        </w:rPr>
        <w:t>PacNet</w:t>
      </w:r>
      <w:proofErr w:type="spellEnd"/>
      <w:r w:rsidR="00AD4EEC">
        <w:rPr>
          <w:rFonts w:ascii="Times New Roman" w:hAnsi="Times New Roman"/>
          <w:b/>
          <w:bCs/>
        </w:rPr>
        <w:t> :</w:t>
      </w:r>
      <w:r>
        <w:rPr>
          <w:rFonts w:ascii="Times New Roman" w:hAnsi="Times New Roman"/>
          <w:bCs/>
        </w:rPr>
        <w:t xml:space="preserve"> Si l</w:t>
      </w:r>
      <w:r w:rsidR="00AD4EEC">
        <w:rPr>
          <w:rFonts w:ascii="Times New Roman" w:hAnsi="Times New Roman"/>
          <w:bCs/>
        </w:rPr>
        <w:t>’</w:t>
      </w:r>
      <w:r>
        <w:rPr>
          <w:rFonts w:ascii="Times New Roman" w:hAnsi="Times New Roman"/>
          <w:bCs/>
        </w:rPr>
        <w:t>on a noté une augmentation du nombre d</w:t>
      </w:r>
      <w:r w:rsidR="00AD4EEC">
        <w:rPr>
          <w:rFonts w:ascii="Times New Roman" w:hAnsi="Times New Roman"/>
          <w:bCs/>
        </w:rPr>
        <w:t>’</w:t>
      </w:r>
      <w:r>
        <w:rPr>
          <w:rFonts w:ascii="Times New Roman" w:hAnsi="Times New Roman"/>
          <w:bCs/>
        </w:rPr>
        <w:t xml:space="preserve">abonnés à </w:t>
      </w:r>
      <w:proofErr w:type="spellStart"/>
      <w:r>
        <w:rPr>
          <w:rFonts w:ascii="Times New Roman" w:hAnsi="Times New Roman"/>
          <w:bCs/>
        </w:rPr>
        <w:t>PacNet</w:t>
      </w:r>
      <w:proofErr w:type="spellEnd"/>
      <w:r>
        <w:rPr>
          <w:rFonts w:ascii="Times New Roman" w:hAnsi="Times New Roman"/>
          <w:bCs/>
        </w:rPr>
        <w:t xml:space="preserve"> et une nette </w:t>
      </w:r>
      <w:bookmarkStart w:id="2" w:name="_GoBack"/>
      <w:bookmarkEnd w:id="2"/>
      <w:r>
        <w:rPr>
          <w:rFonts w:ascii="Times New Roman" w:hAnsi="Times New Roman"/>
          <w:bCs/>
        </w:rPr>
        <w:t>évolution de la proportion d</w:t>
      </w:r>
      <w:r w:rsidR="00AD4EEC">
        <w:rPr>
          <w:rFonts w:ascii="Times New Roman" w:hAnsi="Times New Roman"/>
          <w:bCs/>
        </w:rPr>
        <w:t>’</w:t>
      </w:r>
      <w:r>
        <w:rPr>
          <w:rFonts w:ascii="Times New Roman" w:hAnsi="Times New Roman"/>
          <w:bCs/>
        </w:rPr>
        <w:t xml:space="preserve">États et Territoires insulaires océaniens touchés par des épidémies qui publient des informations sur </w:t>
      </w:r>
      <w:proofErr w:type="spellStart"/>
      <w:r>
        <w:rPr>
          <w:rFonts w:ascii="Times New Roman" w:hAnsi="Times New Roman"/>
          <w:bCs/>
        </w:rPr>
        <w:t>PacNet</w:t>
      </w:r>
      <w:proofErr w:type="spellEnd"/>
      <w:r>
        <w:rPr>
          <w:rFonts w:ascii="Times New Roman" w:hAnsi="Times New Roman"/>
          <w:bCs/>
        </w:rPr>
        <w:t>, les pays océaniens continuent de rencontrer des difficultés pour ce qui est de la qualité des données et de la rapidité de signalement des flambées. Ces deux paramètres ont une incidence sur la capacité des pouvoirs publics nationaux et des prestataires régionaux d</w:t>
      </w:r>
      <w:r w:rsidR="00AD4EEC">
        <w:rPr>
          <w:rFonts w:ascii="Times New Roman" w:hAnsi="Times New Roman"/>
          <w:bCs/>
        </w:rPr>
        <w:t>’</w:t>
      </w:r>
      <w:r>
        <w:rPr>
          <w:rFonts w:ascii="Times New Roman" w:hAnsi="Times New Roman"/>
          <w:bCs/>
        </w:rPr>
        <w:t>assistance technique à intervenir au plus tôt et à mettre en place des mesures de lutte. L</w:t>
      </w:r>
      <w:r w:rsidR="00AD4EEC">
        <w:rPr>
          <w:rFonts w:ascii="Times New Roman" w:hAnsi="Times New Roman"/>
          <w:bCs/>
        </w:rPr>
        <w:t>’</w:t>
      </w:r>
      <w:r>
        <w:rPr>
          <w:rFonts w:ascii="Times New Roman" w:hAnsi="Times New Roman"/>
          <w:bCs/>
        </w:rPr>
        <w:t xml:space="preserve">Australie, </w:t>
      </w:r>
      <w:r>
        <w:rPr>
          <w:rFonts w:ascii="Times New Roman" w:hAnsi="Times New Roman"/>
          <w:bCs/>
        </w:rPr>
        <w:lastRenderedPageBreak/>
        <w:t>Hawaii (États-Unis) et la Nouvelle-Zélande diffusent des alertes utiles dès lors que ces pays relèvent des cas de maladies à tendance épidémique importés depuis des États ou Territoires insulaires océaniens. Inversement, les informations relatives à la surveillance communiquées par les États et Territoires insulaires océaniens présentent un intérêt pour ces pays. Une coopération renforcée entre ces pays améliorera ces efforts mutuellement bénéfiques de partage d</w:t>
      </w:r>
      <w:r w:rsidR="00AD4EEC">
        <w:rPr>
          <w:rFonts w:ascii="Times New Roman" w:hAnsi="Times New Roman"/>
          <w:bCs/>
        </w:rPr>
        <w:t>’</w:t>
      </w:r>
      <w:r>
        <w:rPr>
          <w:rFonts w:ascii="Times New Roman" w:hAnsi="Times New Roman"/>
          <w:bCs/>
        </w:rPr>
        <w:t xml:space="preserve">informations. </w:t>
      </w:r>
      <w:r>
        <w:rPr>
          <w:rFonts w:ascii="Times New Roman" w:hAnsi="Times New Roman"/>
        </w:rPr>
        <w:t>Le fait d</w:t>
      </w:r>
      <w:r w:rsidR="00AD4EEC">
        <w:rPr>
          <w:rFonts w:ascii="Times New Roman" w:hAnsi="Times New Roman"/>
        </w:rPr>
        <w:t>’</w:t>
      </w:r>
      <w:r>
        <w:rPr>
          <w:rFonts w:ascii="Times New Roman" w:hAnsi="Times New Roman"/>
        </w:rPr>
        <w:t>être averti des flambées que connaissent les pays voisins de la région est un aspect fondamental de l</w:t>
      </w:r>
      <w:r w:rsidR="00AD4EEC">
        <w:rPr>
          <w:rFonts w:ascii="Times New Roman" w:hAnsi="Times New Roman"/>
        </w:rPr>
        <w:t>’</w:t>
      </w:r>
      <w:r>
        <w:rPr>
          <w:rFonts w:ascii="Times New Roman" w:hAnsi="Times New Roman"/>
        </w:rPr>
        <w:t>évaluation des risques et de la préparation des États et Territoires insulaires océaniens. Un bilan précis du risque à l</w:t>
      </w:r>
      <w:r w:rsidR="00AD4EEC">
        <w:rPr>
          <w:rFonts w:ascii="Times New Roman" w:hAnsi="Times New Roman"/>
        </w:rPr>
        <w:t>’</w:t>
      </w:r>
      <w:r>
        <w:rPr>
          <w:rFonts w:ascii="Times New Roman" w:hAnsi="Times New Roman"/>
        </w:rPr>
        <w:t>instant T ne peut être établi ni actualisé en l</w:t>
      </w:r>
      <w:r w:rsidR="00AD4EEC">
        <w:rPr>
          <w:rFonts w:ascii="Times New Roman" w:hAnsi="Times New Roman"/>
        </w:rPr>
        <w:t>’</w:t>
      </w:r>
      <w:r>
        <w:rPr>
          <w:rFonts w:ascii="Times New Roman" w:hAnsi="Times New Roman"/>
        </w:rPr>
        <w:t xml:space="preserve">absence de notification rapide des nouvelles flambées épidémiques sur </w:t>
      </w:r>
      <w:proofErr w:type="spellStart"/>
      <w:r>
        <w:rPr>
          <w:rFonts w:ascii="Times New Roman" w:hAnsi="Times New Roman"/>
        </w:rPr>
        <w:t>PacNet</w:t>
      </w:r>
      <w:proofErr w:type="spellEnd"/>
      <w:r>
        <w:rPr>
          <w:rFonts w:ascii="Times New Roman" w:hAnsi="Times New Roman"/>
        </w:rPr>
        <w:t xml:space="preserve"> ainsi que de déclaration en temps opportun une fois les épidémies éteintes.</w:t>
      </w:r>
    </w:p>
    <w:p w:rsidR="00A94FA5" w:rsidRDefault="00150F4C" w:rsidP="00A94FA5">
      <w:pPr>
        <w:spacing w:before="240" w:after="240" w:line="360" w:lineRule="auto"/>
        <w:rPr>
          <w:rFonts w:ascii="Times New Roman" w:eastAsia="Malgun Gothic" w:hAnsi="Times New Roman" w:cs="Times New Roman"/>
          <w:bCs/>
        </w:rPr>
      </w:pPr>
      <w:r>
        <w:rPr>
          <w:rFonts w:ascii="Times New Roman" w:hAnsi="Times New Roman"/>
          <w:b/>
        </w:rPr>
        <w:t>B3.</w:t>
      </w:r>
      <w:r>
        <w:rPr>
          <w:rFonts w:ascii="Times New Roman" w:hAnsi="Times New Roman"/>
          <w:b/>
        </w:rPr>
        <w:tab/>
      </w:r>
      <w:r>
        <w:rPr>
          <w:rFonts w:ascii="Times New Roman" w:hAnsi="Times New Roman"/>
          <w:b/>
          <w:bCs/>
        </w:rPr>
        <w:t>LabNet</w:t>
      </w:r>
      <w:r w:rsidR="00AD4EEC">
        <w:rPr>
          <w:rFonts w:ascii="Times New Roman" w:hAnsi="Times New Roman"/>
          <w:b/>
          <w:bCs/>
        </w:rPr>
        <w:t> :</w:t>
      </w:r>
      <w:r>
        <w:rPr>
          <w:rFonts w:ascii="Times New Roman" w:hAnsi="Times New Roman"/>
          <w:bCs/>
        </w:rPr>
        <w:t xml:space="preserve"> La formation au système de gestion de la qualité des laboratoires et les évaluations menées en la matière visent à améliorer la prestation de services tout en renforçant le système de laboratoires. En l</w:t>
      </w:r>
      <w:r w:rsidR="00AD4EEC">
        <w:rPr>
          <w:rFonts w:ascii="Times New Roman" w:hAnsi="Times New Roman"/>
          <w:bCs/>
        </w:rPr>
        <w:t>’</w:t>
      </w:r>
      <w:r>
        <w:rPr>
          <w:rFonts w:ascii="Times New Roman" w:hAnsi="Times New Roman"/>
          <w:bCs/>
        </w:rPr>
        <w:t>absence de personnels spécialisés, il est difficile de mettre en œuvre les recommandations formulées à l</w:t>
      </w:r>
      <w:r w:rsidR="00AD4EEC">
        <w:rPr>
          <w:rFonts w:ascii="Times New Roman" w:hAnsi="Times New Roman"/>
          <w:bCs/>
        </w:rPr>
        <w:t>’</w:t>
      </w:r>
      <w:r>
        <w:rPr>
          <w:rFonts w:ascii="Times New Roman" w:hAnsi="Times New Roman"/>
          <w:bCs/>
        </w:rPr>
        <w:t>issue de ces évaluations pour remédier aux lacunes et limites relevées dans les travaux des laboratoires et ainsi améliorer durablement le système. Il convient de maintenir un niveau suffisant de financement et de compétences relatives à la formation de l</w:t>
      </w:r>
      <w:r w:rsidR="00AD4EEC">
        <w:rPr>
          <w:rFonts w:ascii="Times New Roman" w:hAnsi="Times New Roman"/>
          <w:bCs/>
        </w:rPr>
        <w:t>’</w:t>
      </w:r>
      <w:r>
        <w:rPr>
          <w:rFonts w:ascii="Times New Roman" w:hAnsi="Times New Roman"/>
          <w:bCs/>
        </w:rPr>
        <w:t xml:space="preserve">Association du transport aérien international (IATA) aux fins de la certification des transporteurs afin de respecter la réglementation internationale. </w:t>
      </w:r>
      <w:r>
        <w:rPr>
          <w:rFonts w:ascii="Times New Roman" w:hAnsi="Times New Roman"/>
        </w:rPr>
        <w:t>Les laboratoires présents en Océanie n</w:t>
      </w:r>
      <w:r w:rsidR="00AD4EEC">
        <w:rPr>
          <w:rFonts w:ascii="Times New Roman" w:hAnsi="Times New Roman"/>
        </w:rPr>
        <w:t>’</w:t>
      </w:r>
      <w:r>
        <w:rPr>
          <w:rFonts w:ascii="Times New Roman" w:hAnsi="Times New Roman"/>
        </w:rPr>
        <w:t>atteignent que partiellement leurs objectifs relevant de la gestion de la qualité et du développement des services. Les progrès enregistrés par la région au regard des objectifs de performance et de qualité définis dans la stratégie</w:t>
      </w:r>
      <w:r w:rsidR="008E4733">
        <w:rPr>
          <w:rFonts w:ascii="Times New Roman" w:hAnsi="Times New Roman"/>
        </w:rPr>
        <w:t> </w:t>
      </w:r>
      <w:r>
        <w:rPr>
          <w:rFonts w:ascii="Times New Roman" w:hAnsi="Times New Roman"/>
        </w:rPr>
        <w:t>2010–2015 de l</w:t>
      </w:r>
      <w:r w:rsidR="00AD4EEC">
        <w:rPr>
          <w:rFonts w:ascii="Times New Roman" w:hAnsi="Times New Roman"/>
        </w:rPr>
        <w:t>’</w:t>
      </w:r>
      <w:r>
        <w:rPr>
          <w:rFonts w:ascii="Times New Roman" w:hAnsi="Times New Roman"/>
        </w:rPr>
        <w:t>OMS pour l</w:t>
      </w:r>
      <w:r w:rsidR="00AD4EEC">
        <w:rPr>
          <w:rFonts w:ascii="Times New Roman" w:hAnsi="Times New Roman"/>
        </w:rPr>
        <w:t>’</w:t>
      </w:r>
      <w:r>
        <w:rPr>
          <w:rFonts w:ascii="Times New Roman" w:hAnsi="Times New Roman"/>
        </w:rPr>
        <w:t>Asie-Pacifique aux fins d</w:t>
      </w:r>
      <w:r w:rsidR="00AD4EEC">
        <w:rPr>
          <w:rFonts w:ascii="Times New Roman" w:hAnsi="Times New Roman"/>
        </w:rPr>
        <w:t>’</w:t>
      </w:r>
      <w:r>
        <w:rPr>
          <w:rFonts w:ascii="Times New Roman" w:hAnsi="Times New Roman"/>
        </w:rPr>
        <w:t>accréditation internationale sont lents, et les résultats obtenus dans ce domaine à l</w:t>
      </w:r>
      <w:r w:rsidR="00AD4EEC">
        <w:rPr>
          <w:rFonts w:ascii="Times New Roman" w:hAnsi="Times New Roman"/>
        </w:rPr>
        <w:t>’</w:t>
      </w:r>
      <w:r>
        <w:rPr>
          <w:rFonts w:ascii="Times New Roman" w:hAnsi="Times New Roman"/>
        </w:rPr>
        <w:t xml:space="preserve">horizon 2020 demeurent insatisfaisants. La pénurie de pathologistes et de chercheurs qualifiés ainsi que le manque de ressources des services continuent de mettre à mal les bonnes pratiques et la crédibilité de nos services de diagnostic en laboratoire. </w:t>
      </w:r>
    </w:p>
    <w:p w:rsidR="00A94FA5" w:rsidRPr="006C35DB" w:rsidRDefault="00150F4C" w:rsidP="00A94FA5">
      <w:pPr>
        <w:spacing w:before="240" w:after="240" w:line="360" w:lineRule="auto"/>
        <w:rPr>
          <w:rFonts w:ascii="Times New Roman" w:eastAsia="Malgun Gothic" w:hAnsi="Times New Roman" w:cs="Times New Roman"/>
          <w:bCs/>
        </w:rPr>
      </w:pPr>
      <w:r>
        <w:rPr>
          <w:rFonts w:ascii="Times New Roman" w:hAnsi="Times New Roman"/>
          <w:b/>
        </w:rPr>
        <w:t>B4.</w:t>
      </w:r>
      <w:r>
        <w:rPr>
          <w:rFonts w:ascii="Times New Roman" w:hAnsi="Times New Roman"/>
          <w:b/>
        </w:rPr>
        <w:tab/>
      </w:r>
      <w:r>
        <w:rPr>
          <w:rFonts w:ascii="Times New Roman" w:hAnsi="Times New Roman"/>
          <w:b/>
          <w:bCs/>
        </w:rPr>
        <w:t>EpiNet</w:t>
      </w:r>
      <w:r w:rsidR="00AD4EEC">
        <w:rPr>
          <w:rFonts w:ascii="Times New Roman" w:hAnsi="Times New Roman"/>
          <w:b/>
          <w:bCs/>
        </w:rPr>
        <w:t> :</w:t>
      </w:r>
      <w:r>
        <w:rPr>
          <w:rFonts w:ascii="Times New Roman" w:hAnsi="Times New Roman"/>
          <w:bCs/>
        </w:rPr>
        <w:t xml:space="preserve"> Pour contrôler une flambée épidémique, il faut intervenir immédiatement et avec diligence. Il ne suffit pas de disposer d</w:t>
      </w:r>
      <w:r w:rsidR="00AD4EEC">
        <w:rPr>
          <w:rFonts w:ascii="Times New Roman" w:hAnsi="Times New Roman"/>
          <w:bCs/>
        </w:rPr>
        <w:t>’</w:t>
      </w:r>
      <w:r>
        <w:rPr>
          <w:rFonts w:ascii="Times New Roman" w:hAnsi="Times New Roman"/>
          <w:bCs/>
        </w:rPr>
        <w:t>un cadre solide de correspondants pour différents secteurs permettant de mener des actions d</w:t>
      </w:r>
      <w:r w:rsidR="00AD4EEC">
        <w:rPr>
          <w:rFonts w:ascii="Times New Roman" w:hAnsi="Times New Roman"/>
          <w:bCs/>
        </w:rPr>
        <w:t>’</w:t>
      </w:r>
      <w:r>
        <w:rPr>
          <w:rFonts w:ascii="Times New Roman" w:hAnsi="Times New Roman"/>
          <w:bCs/>
        </w:rPr>
        <w:t>intervention et de lutte afin de collecter, de trianguler et d</w:t>
      </w:r>
      <w:r w:rsidR="00AD4EEC">
        <w:rPr>
          <w:rFonts w:ascii="Times New Roman" w:hAnsi="Times New Roman"/>
          <w:bCs/>
        </w:rPr>
        <w:t>’</w:t>
      </w:r>
      <w:r>
        <w:rPr>
          <w:rFonts w:ascii="Times New Roman" w:hAnsi="Times New Roman"/>
          <w:bCs/>
        </w:rPr>
        <w:t>analyser les données, ainsi que d</w:t>
      </w:r>
      <w:r w:rsidR="00AD4EEC">
        <w:rPr>
          <w:rFonts w:ascii="Times New Roman" w:hAnsi="Times New Roman"/>
          <w:bCs/>
        </w:rPr>
        <w:t>’</w:t>
      </w:r>
      <w:r>
        <w:rPr>
          <w:rFonts w:ascii="Times New Roman" w:hAnsi="Times New Roman"/>
          <w:bCs/>
        </w:rPr>
        <w:t>agir en fonction des informations disponibles. La coordination régionale profite également de l</w:t>
      </w:r>
      <w:r w:rsidR="00AD4EEC">
        <w:rPr>
          <w:rFonts w:ascii="Times New Roman" w:hAnsi="Times New Roman"/>
          <w:bCs/>
        </w:rPr>
        <w:t>’</w:t>
      </w:r>
      <w:r>
        <w:rPr>
          <w:rFonts w:ascii="Times New Roman" w:hAnsi="Times New Roman"/>
          <w:bCs/>
        </w:rPr>
        <w:t>actualisation et de la diffusion régulières du registre des correspondants auprès d</w:t>
      </w:r>
      <w:r w:rsidR="00AD4EEC">
        <w:rPr>
          <w:rFonts w:ascii="Times New Roman" w:hAnsi="Times New Roman"/>
          <w:bCs/>
        </w:rPr>
        <w:t>’</w:t>
      </w:r>
      <w:r>
        <w:rPr>
          <w:rFonts w:ascii="Times New Roman" w:hAnsi="Times New Roman"/>
          <w:bCs/>
        </w:rPr>
        <w:t>autres acteurs nationaux et océaniens qui jouent un rôle dans la surveillance et la réponse aux maladies.</w:t>
      </w:r>
    </w:p>
    <w:p w:rsidR="00A94FA5" w:rsidRPr="006C35DB" w:rsidRDefault="00150F4C" w:rsidP="00A94FA5">
      <w:pPr>
        <w:spacing w:before="240" w:after="240" w:line="360" w:lineRule="auto"/>
        <w:rPr>
          <w:rFonts w:ascii="Times New Roman" w:eastAsia="Malgun Gothic" w:hAnsi="Times New Roman" w:cs="Times New Roman"/>
          <w:bCs/>
        </w:rPr>
      </w:pPr>
      <w:r>
        <w:rPr>
          <w:rFonts w:ascii="Times New Roman" w:hAnsi="Times New Roman"/>
          <w:b/>
        </w:rPr>
        <w:t>B5.</w:t>
      </w:r>
      <w:r>
        <w:rPr>
          <w:rFonts w:ascii="Times New Roman" w:hAnsi="Times New Roman"/>
          <w:b/>
        </w:rPr>
        <w:tab/>
      </w:r>
      <w:r>
        <w:rPr>
          <w:rFonts w:ascii="Times New Roman" w:hAnsi="Times New Roman"/>
          <w:b/>
          <w:bCs/>
        </w:rPr>
        <w:t>PICNet</w:t>
      </w:r>
      <w:r w:rsidR="00AD4EEC">
        <w:rPr>
          <w:rFonts w:ascii="Times New Roman" w:hAnsi="Times New Roman"/>
          <w:b/>
          <w:bCs/>
        </w:rPr>
        <w:t> :</w:t>
      </w:r>
      <w:r>
        <w:rPr>
          <w:rFonts w:ascii="Times New Roman" w:hAnsi="Times New Roman"/>
          <w:bCs/>
        </w:rPr>
        <w:t xml:space="preserve"> Les ressources et le savoir-faire à disposition pour prévenir et combattre les infections sont limités dans la plupart des États et Territoires insulaires océaniens. Ils ne disposent généralement pas de recommandations en matière de lutte contre les infections ni d</w:t>
      </w:r>
      <w:r w:rsidR="00AD4EEC">
        <w:rPr>
          <w:rFonts w:ascii="Times New Roman" w:hAnsi="Times New Roman"/>
          <w:bCs/>
        </w:rPr>
        <w:t>’</w:t>
      </w:r>
      <w:r>
        <w:rPr>
          <w:rFonts w:ascii="Times New Roman" w:hAnsi="Times New Roman"/>
          <w:bCs/>
        </w:rPr>
        <w:t xml:space="preserve">orientations stratégiques. Les infrastructures ne sont pas suffisantes et les services de santé ne sont pas dotés de </w:t>
      </w:r>
      <w:r>
        <w:rPr>
          <w:rFonts w:ascii="Times New Roman" w:hAnsi="Times New Roman"/>
          <w:bCs/>
        </w:rPr>
        <w:lastRenderedPageBreak/>
        <w:t xml:space="preserve">fonctionnaires chargés de mettre en œuvre et de suivre les programmes de prévention et de lutte anti-infectieuse. </w:t>
      </w:r>
    </w:p>
    <w:p w:rsidR="00A94FA5" w:rsidRPr="006C35DB" w:rsidRDefault="00150F4C" w:rsidP="00A94FA5">
      <w:pPr>
        <w:pStyle w:val="sectionheading"/>
        <w:spacing w:before="240"/>
        <w:ind w:left="0" w:firstLine="0"/>
        <w:jc w:val="left"/>
        <w:rPr>
          <w:rFonts w:eastAsia="Malgun Gothic"/>
          <w:b w:val="0"/>
          <w:bCs/>
        </w:rPr>
      </w:pPr>
      <w:r>
        <w:t>B6.</w:t>
      </w:r>
      <w:r>
        <w:tab/>
        <w:t>SHIP/DDM</w:t>
      </w:r>
      <w:r w:rsidR="00AD4EEC">
        <w:t> :</w:t>
      </w:r>
      <w:r>
        <w:rPr>
          <w:b w:val="0"/>
          <w:bCs/>
        </w:rPr>
        <w:t xml:space="preserve"> </w:t>
      </w:r>
      <w:r>
        <w:rPr>
          <w:b w:val="0"/>
          <w:bCs/>
          <w:szCs w:val="22"/>
        </w:rPr>
        <w:t>La mise en œuvre du cursus PGCFE repose en grande partie sur des sources de financement externes.</w:t>
      </w:r>
      <w:r>
        <w:rPr>
          <w:b w:val="0"/>
          <w:szCs w:val="22"/>
        </w:rPr>
        <w:t xml:space="preserve"> </w:t>
      </w:r>
      <w:r>
        <w:rPr>
          <w:b w:val="0"/>
          <w:bCs/>
          <w:szCs w:val="22"/>
        </w:rPr>
        <w:t>Il convient de continuer à faire évoluer le programme SHIP/DDM de sorte qu</w:t>
      </w:r>
      <w:r w:rsidR="00AD4EEC">
        <w:rPr>
          <w:b w:val="0"/>
          <w:bCs/>
          <w:szCs w:val="22"/>
        </w:rPr>
        <w:t>’</w:t>
      </w:r>
      <w:r>
        <w:rPr>
          <w:b w:val="0"/>
          <w:bCs/>
          <w:szCs w:val="22"/>
        </w:rPr>
        <w:t>il aborde les problèmes prioritaires, tienne compte de l</w:t>
      </w:r>
      <w:r w:rsidR="00AD4EEC">
        <w:rPr>
          <w:b w:val="0"/>
          <w:bCs/>
          <w:szCs w:val="22"/>
        </w:rPr>
        <w:t>’</w:t>
      </w:r>
      <w:r>
        <w:rPr>
          <w:b w:val="0"/>
          <w:bCs/>
          <w:szCs w:val="22"/>
        </w:rPr>
        <w:t>emploi du temps des personnes qui suivent les cours, et répondent aux besoins des États et Territoires insulaires océaniens en matière de système d</w:t>
      </w:r>
      <w:r w:rsidR="00AD4EEC">
        <w:rPr>
          <w:b w:val="0"/>
          <w:bCs/>
          <w:szCs w:val="22"/>
        </w:rPr>
        <w:t>’</w:t>
      </w:r>
      <w:r>
        <w:rPr>
          <w:b w:val="0"/>
          <w:bCs/>
          <w:szCs w:val="22"/>
        </w:rPr>
        <w:t>information sanitaire et de développement des ressources humaines. Pour que le programme SHIP présente un intérêt, il faut s</w:t>
      </w:r>
      <w:r w:rsidR="00AD4EEC">
        <w:rPr>
          <w:b w:val="0"/>
          <w:bCs/>
          <w:szCs w:val="22"/>
        </w:rPr>
        <w:t>’</w:t>
      </w:r>
      <w:r>
        <w:rPr>
          <w:b w:val="0"/>
          <w:bCs/>
          <w:szCs w:val="22"/>
        </w:rPr>
        <w:t>assurer qu</w:t>
      </w:r>
      <w:r w:rsidR="00AD4EEC">
        <w:rPr>
          <w:b w:val="0"/>
          <w:bCs/>
          <w:szCs w:val="22"/>
        </w:rPr>
        <w:t>’</w:t>
      </w:r>
      <w:r>
        <w:rPr>
          <w:b w:val="0"/>
          <w:bCs/>
          <w:szCs w:val="22"/>
        </w:rPr>
        <w:t>il touche le public concerné et qu</w:t>
      </w:r>
      <w:r w:rsidR="00AD4EEC">
        <w:rPr>
          <w:b w:val="0"/>
          <w:bCs/>
          <w:szCs w:val="22"/>
        </w:rPr>
        <w:t>’</w:t>
      </w:r>
      <w:r>
        <w:rPr>
          <w:b w:val="0"/>
          <w:bCs/>
          <w:szCs w:val="22"/>
        </w:rPr>
        <w:t>il soit largement dispensé afin d</w:t>
      </w:r>
      <w:r w:rsidR="00AD4EEC">
        <w:rPr>
          <w:b w:val="0"/>
          <w:bCs/>
          <w:szCs w:val="22"/>
        </w:rPr>
        <w:t>’</w:t>
      </w:r>
      <w:r>
        <w:rPr>
          <w:b w:val="0"/>
          <w:bCs/>
          <w:szCs w:val="22"/>
        </w:rPr>
        <w:t>imprégner les organismes de santé de toute la région océanienne</w:t>
      </w:r>
      <w:r>
        <w:rPr>
          <w:b w:val="0"/>
          <w:bCs/>
        </w:rPr>
        <w:t>. Enfin, les fonctionnaires des services de santé ayant terminé le cursus et acquis les compétences souhaitées devraient être fidélisés pour qu</w:t>
      </w:r>
      <w:r w:rsidR="00AD4EEC">
        <w:rPr>
          <w:b w:val="0"/>
          <w:bCs/>
        </w:rPr>
        <w:t>’</w:t>
      </w:r>
      <w:r>
        <w:rPr>
          <w:b w:val="0"/>
          <w:bCs/>
        </w:rPr>
        <w:t>ils continuent à exercer dans leur pays. Les mécanismes nationaux de détermination des attributions et les plans de carrière devraient continuer d</w:t>
      </w:r>
      <w:r w:rsidR="00AD4EEC">
        <w:rPr>
          <w:b w:val="0"/>
          <w:bCs/>
        </w:rPr>
        <w:t>’</w:t>
      </w:r>
      <w:r>
        <w:rPr>
          <w:b w:val="0"/>
          <w:bCs/>
        </w:rPr>
        <w:t>évoluer afin de rester au contact des nouvelles compétences et qualifications acquises par les personnes ayant obtenu le certificat.</w:t>
      </w:r>
    </w:p>
    <w:p w:rsidR="00A94FA5" w:rsidRPr="00A94FA5" w:rsidRDefault="00150F4C" w:rsidP="0017197C">
      <w:pPr>
        <w:spacing w:before="480" w:after="480" w:line="360" w:lineRule="auto"/>
        <w:rPr>
          <w:rFonts w:ascii="Times New Roman" w:eastAsia="Malgun Gothic" w:hAnsi="Times New Roman" w:cs="Times New Roman"/>
          <w:b/>
          <w:u w:val="single"/>
        </w:rPr>
      </w:pPr>
      <w:r>
        <w:rPr>
          <w:rFonts w:ascii="Times New Roman" w:hAnsi="Times New Roman"/>
          <w:b/>
          <w:u w:val="single"/>
        </w:rPr>
        <w:t>C. Orientations futures</w:t>
      </w:r>
      <w:r w:rsidR="00AD4EEC">
        <w:rPr>
          <w:rFonts w:ascii="Times New Roman" w:hAnsi="Times New Roman"/>
          <w:b/>
          <w:u w:val="single"/>
        </w:rPr>
        <w:t> :</w:t>
      </w:r>
      <w:r>
        <w:rPr>
          <w:rFonts w:ascii="Times New Roman" w:hAnsi="Times New Roman"/>
          <w:b/>
          <w:u w:val="single"/>
        </w:rPr>
        <w:t xml:space="preserve"> </w:t>
      </w:r>
    </w:p>
    <w:p w:rsidR="00A94FA5" w:rsidRPr="006C35DB" w:rsidRDefault="00150F4C" w:rsidP="00A94FA5">
      <w:pPr>
        <w:spacing w:before="240" w:after="240" w:line="360" w:lineRule="auto"/>
        <w:rPr>
          <w:rFonts w:ascii="Times New Roman" w:hAnsi="Times New Roman" w:cs="Times New Roman"/>
        </w:rPr>
      </w:pPr>
      <w:r>
        <w:rPr>
          <w:rFonts w:ascii="Times New Roman" w:hAnsi="Times New Roman"/>
          <w:b/>
        </w:rPr>
        <w:t>C1.</w:t>
      </w:r>
      <w:r>
        <w:rPr>
          <w:rFonts w:ascii="Times New Roman" w:hAnsi="Times New Roman"/>
          <w:b/>
        </w:rPr>
        <w:tab/>
        <w:t>Orientations et priorités stratégiques du ROSSP</w:t>
      </w:r>
      <w:r w:rsidR="00AD4EEC">
        <w:rPr>
          <w:rFonts w:ascii="Times New Roman" w:hAnsi="Times New Roman"/>
          <w:b/>
        </w:rPr>
        <w:t> :</w:t>
      </w:r>
      <w:r>
        <w:rPr>
          <w:rFonts w:ascii="Times New Roman" w:hAnsi="Times New Roman"/>
          <w:b/>
        </w:rPr>
        <w:t xml:space="preserve"> </w:t>
      </w:r>
      <w:r>
        <w:rPr>
          <w:rFonts w:ascii="Times New Roman" w:hAnsi="Times New Roman"/>
        </w:rPr>
        <w:t>Si l</w:t>
      </w:r>
      <w:r w:rsidR="00AD4EEC">
        <w:rPr>
          <w:rFonts w:ascii="Times New Roman" w:hAnsi="Times New Roman"/>
        </w:rPr>
        <w:t>’</w:t>
      </w:r>
      <w:r>
        <w:rPr>
          <w:rFonts w:ascii="Times New Roman" w:hAnsi="Times New Roman"/>
        </w:rPr>
        <w:t>on constate une divergence des défis et des priorités des pays insulaires océaniens en termes de modalités, d</w:t>
      </w:r>
      <w:r w:rsidR="00AD4EEC">
        <w:rPr>
          <w:rFonts w:ascii="Times New Roman" w:hAnsi="Times New Roman"/>
        </w:rPr>
        <w:t>’</w:t>
      </w:r>
      <w:r>
        <w:rPr>
          <w:rFonts w:ascii="Times New Roman" w:hAnsi="Times New Roman"/>
        </w:rPr>
        <w:t>assise de financement et d</w:t>
      </w:r>
      <w:r w:rsidR="00AD4EEC">
        <w:rPr>
          <w:rFonts w:ascii="Times New Roman" w:hAnsi="Times New Roman"/>
        </w:rPr>
        <w:t>’</w:t>
      </w:r>
      <w:r>
        <w:rPr>
          <w:rFonts w:ascii="Times New Roman" w:hAnsi="Times New Roman"/>
        </w:rPr>
        <w:t>interactions avec les entités nationales et régionales, les réseaux de services de soutien du ROSSP restent solides et continueront d</w:t>
      </w:r>
      <w:r w:rsidR="00AD4EEC">
        <w:rPr>
          <w:rFonts w:ascii="Times New Roman" w:hAnsi="Times New Roman"/>
        </w:rPr>
        <w:t>’</w:t>
      </w:r>
      <w:r>
        <w:rPr>
          <w:rFonts w:ascii="Times New Roman" w:hAnsi="Times New Roman"/>
        </w:rPr>
        <w:t>évoluer pour s</w:t>
      </w:r>
      <w:r w:rsidR="00AD4EEC">
        <w:rPr>
          <w:rFonts w:ascii="Times New Roman" w:hAnsi="Times New Roman"/>
        </w:rPr>
        <w:t>’</w:t>
      </w:r>
      <w:r>
        <w:rPr>
          <w:rFonts w:ascii="Times New Roman" w:hAnsi="Times New Roman"/>
        </w:rPr>
        <w:t>adapter aux défis et priorités nationales et régionales. À l</w:t>
      </w:r>
      <w:r w:rsidR="00AD4EEC">
        <w:rPr>
          <w:rFonts w:ascii="Times New Roman" w:hAnsi="Times New Roman"/>
        </w:rPr>
        <w:t>’</w:t>
      </w:r>
      <w:r>
        <w:rPr>
          <w:rFonts w:ascii="Times New Roman" w:hAnsi="Times New Roman"/>
        </w:rPr>
        <w:t>issue de l</w:t>
      </w:r>
      <w:r w:rsidR="00AD4EEC">
        <w:rPr>
          <w:rFonts w:ascii="Times New Roman" w:hAnsi="Times New Roman"/>
        </w:rPr>
        <w:t>’</w:t>
      </w:r>
      <w:r>
        <w:rPr>
          <w:rFonts w:ascii="Times New Roman" w:hAnsi="Times New Roman"/>
        </w:rPr>
        <w:t xml:space="preserve">évaluation externe du ROSSP, son plan stratégique sera actualisé. </w:t>
      </w:r>
    </w:p>
    <w:p w:rsidR="00A94FA5" w:rsidRPr="006C35DB" w:rsidRDefault="00150F4C" w:rsidP="00A94FA5">
      <w:pPr>
        <w:spacing w:before="240" w:after="240" w:line="360" w:lineRule="auto"/>
        <w:rPr>
          <w:rFonts w:ascii="Times New Roman" w:hAnsi="Times New Roman" w:cs="Times New Roman"/>
        </w:rPr>
      </w:pPr>
      <w:r>
        <w:rPr>
          <w:rFonts w:ascii="Times New Roman" w:hAnsi="Times New Roman"/>
          <w:b/>
        </w:rPr>
        <w:t>C2.</w:t>
      </w:r>
      <w:r>
        <w:rPr>
          <w:rFonts w:ascii="Times New Roman" w:hAnsi="Times New Roman"/>
          <w:b/>
        </w:rPr>
        <w:tab/>
        <w:t>Amélioration de l</w:t>
      </w:r>
      <w:r w:rsidR="00AD4EEC">
        <w:rPr>
          <w:rFonts w:ascii="Times New Roman" w:hAnsi="Times New Roman"/>
          <w:b/>
        </w:rPr>
        <w:t>’</w:t>
      </w:r>
      <w:r>
        <w:rPr>
          <w:rFonts w:ascii="Times New Roman" w:hAnsi="Times New Roman"/>
          <w:b/>
        </w:rPr>
        <w:t>analyse et de l</w:t>
      </w:r>
      <w:r w:rsidR="00AD4EEC">
        <w:rPr>
          <w:rFonts w:ascii="Times New Roman" w:hAnsi="Times New Roman"/>
          <w:b/>
        </w:rPr>
        <w:t>’</w:t>
      </w:r>
      <w:r>
        <w:rPr>
          <w:rFonts w:ascii="Times New Roman" w:hAnsi="Times New Roman"/>
          <w:b/>
        </w:rPr>
        <w:t>exploitation des données de surveillance</w:t>
      </w:r>
      <w:r w:rsidR="00AD4EEC">
        <w:rPr>
          <w:rFonts w:ascii="Times New Roman" w:hAnsi="Times New Roman"/>
          <w:b/>
        </w:rPr>
        <w:t> :</w:t>
      </w:r>
      <w:r>
        <w:rPr>
          <w:rFonts w:ascii="Times New Roman" w:hAnsi="Times New Roman"/>
        </w:rPr>
        <w:t xml:space="preserve"> La liste des syndromes et des définitions des cas utilisée aux fins de surveillance syndromique sera actualisée pour tenir compte des maladies émergentes et améliorer la détection précoce des flambées épidémiques dans la région. La surveillance syndromique couvrira désormais les infections respiratoires aiguës sévères, et l</w:t>
      </w:r>
      <w:r w:rsidR="00AD4EEC">
        <w:rPr>
          <w:rFonts w:ascii="Times New Roman" w:hAnsi="Times New Roman"/>
        </w:rPr>
        <w:t>’</w:t>
      </w:r>
      <w:r>
        <w:rPr>
          <w:rFonts w:ascii="Times New Roman" w:hAnsi="Times New Roman"/>
        </w:rPr>
        <w:t>assistance fournie sera renforcée pour améliorer la surveillance des événements de santé, la surveillance en milieu hospitalier, la surveillance de la résistance aux antimicrobiens, la surveillance en laboratoire, la surveillance des maladies à déclaration obligatoire, la surveillance des vecteurs et la carte d</w:t>
      </w:r>
      <w:r w:rsidR="00AD4EEC">
        <w:rPr>
          <w:rFonts w:ascii="Times New Roman" w:hAnsi="Times New Roman"/>
        </w:rPr>
        <w:t>’</w:t>
      </w:r>
      <w:r>
        <w:rPr>
          <w:rFonts w:ascii="Times New Roman" w:hAnsi="Times New Roman"/>
        </w:rPr>
        <w:t>alertes.</w:t>
      </w:r>
    </w:p>
    <w:p w:rsidR="00A94FA5" w:rsidRPr="006C35DB" w:rsidRDefault="00150F4C" w:rsidP="00A94FA5">
      <w:pPr>
        <w:spacing w:before="240" w:after="240" w:line="360" w:lineRule="auto"/>
        <w:rPr>
          <w:rFonts w:ascii="Times New Roman" w:hAnsi="Times New Roman" w:cs="Times New Roman"/>
        </w:rPr>
      </w:pPr>
      <w:r>
        <w:rPr>
          <w:rFonts w:ascii="Times New Roman" w:hAnsi="Times New Roman"/>
          <w:b/>
        </w:rPr>
        <w:t>C3.</w:t>
      </w:r>
      <w:r>
        <w:rPr>
          <w:rFonts w:ascii="Times New Roman" w:hAnsi="Times New Roman"/>
          <w:b/>
        </w:rPr>
        <w:tab/>
        <w:t>Diffusion rapide d</w:t>
      </w:r>
      <w:r w:rsidR="00AD4EEC">
        <w:rPr>
          <w:rFonts w:ascii="Times New Roman" w:hAnsi="Times New Roman"/>
          <w:b/>
        </w:rPr>
        <w:t>’</w:t>
      </w:r>
      <w:r>
        <w:rPr>
          <w:rFonts w:ascii="Times New Roman" w:hAnsi="Times New Roman"/>
          <w:b/>
        </w:rPr>
        <w:t>alertes et d</w:t>
      </w:r>
      <w:r w:rsidR="00AD4EEC">
        <w:rPr>
          <w:rFonts w:ascii="Times New Roman" w:hAnsi="Times New Roman"/>
          <w:b/>
        </w:rPr>
        <w:t>’</w:t>
      </w:r>
      <w:r>
        <w:rPr>
          <w:rFonts w:ascii="Times New Roman" w:hAnsi="Times New Roman"/>
          <w:b/>
        </w:rPr>
        <w:t>informations</w:t>
      </w:r>
      <w:r w:rsidR="00AD4EEC">
        <w:rPr>
          <w:rFonts w:ascii="Times New Roman" w:hAnsi="Times New Roman"/>
          <w:b/>
        </w:rPr>
        <w:t> :</w:t>
      </w:r>
      <w:r>
        <w:rPr>
          <w:rFonts w:ascii="Times New Roman" w:hAnsi="Times New Roman"/>
        </w:rPr>
        <w:t xml:space="preserve"> Si l</w:t>
      </w:r>
      <w:r w:rsidR="00AD4EEC">
        <w:rPr>
          <w:rFonts w:ascii="Times New Roman" w:hAnsi="Times New Roman"/>
        </w:rPr>
        <w:t>’</w:t>
      </w:r>
      <w:r>
        <w:rPr>
          <w:rFonts w:ascii="Times New Roman" w:hAnsi="Times New Roman"/>
        </w:rPr>
        <w:t>on veut prévenir rapidement et faciliter des interventions efficaces, il faut que les activités de surveillance soient assorties de modalités coordonnées en matière d</w:t>
      </w:r>
      <w:r w:rsidR="00AD4EEC">
        <w:rPr>
          <w:rFonts w:ascii="Times New Roman" w:hAnsi="Times New Roman"/>
        </w:rPr>
        <w:t>’</w:t>
      </w:r>
      <w:r>
        <w:rPr>
          <w:rFonts w:ascii="Times New Roman" w:hAnsi="Times New Roman"/>
        </w:rPr>
        <w:t>évaluation des risques et d</w:t>
      </w:r>
      <w:r w:rsidR="00AD4EEC">
        <w:rPr>
          <w:rFonts w:ascii="Times New Roman" w:hAnsi="Times New Roman"/>
        </w:rPr>
        <w:t>’</w:t>
      </w:r>
      <w:r>
        <w:rPr>
          <w:rFonts w:ascii="Times New Roman" w:hAnsi="Times New Roman"/>
        </w:rPr>
        <w:t>alerte précoce. Nous intégrerons la cartographie des flambées épidémiques et des alertes relatives aux maladies émergentes au système de surveillance syndromique, associé à d</w:t>
      </w:r>
      <w:r w:rsidR="00AD4EEC">
        <w:rPr>
          <w:rFonts w:ascii="Times New Roman" w:hAnsi="Times New Roman"/>
        </w:rPr>
        <w:t>’</w:t>
      </w:r>
      <w:r>
        <w:rPr>
          <w:rFonts w:ascii="Times New Roman" w:hAnsi="Times New Roman"/>
        </w:rPr>
        <w:t>autres dispositifs de surveillance dont l</w:t>
      </w:r>
      <w:r w:rsidR="00AD4EEC">
        <w:rPr>
          <w:rFonts w:ascii="Times New Roman" w:hAnsi="Times New Roman"/>
        </w:rPr>
        <w:t>’</w:t>
      </w:r>
      <w:r>
        <w:rPr>
          <w:rFonts w:ascii="Times New Roman" w:hAnsi="Times New Roman"/>
        </w:rPr>
        <w:t xml:space="preserve">utilisation a été recommandée par </w:t>
      </w:r>
      <w:r>
        <w:rPr>
          <w:rFonts w:ascii="Times New Roman" w:hAnsi="Times New Roman"/>
        </w:rPr>
        <w:lastRenderedPageBreak/>
        <w:t>les participants à la réunion régionale 2019 du ROSSP, afin d</w:t>
      </w:r>
      <w:r w:rsidR="00AD4EEC">
        <w:rPr>
          <w:rFonts w:ascii="Times New Roman" w:hAnsi="Times New Roman"/>
        </w:rPr>
        <w:t>’</w:t>
      </w:r>
      <w:r>
        <w:rPr>
          <w:rFonts w:ascii="Times New Roman" w:hAnsi="Times New Roman"/>
        </w:rPr>
        <w:t>optimiser les rapports de surveillance nationaux.</w:t>
      </w:r>
    </w:p>
    <w:p w:rsidR="00A94FA5" w:rsidRDefault="00150F4C" w:rsidP="00A94FA5">
      <w:pPr>
        <w:spacing w:before="240" w:after="240" w:line="360" w:lineRule="auto"/>
        <w:rPr>
          <w:rFonts w:ascii="Times New Roman" w:hAnsi="Times New Roman" w:cs="Times New Roman"/>
        </w:rPr>
      </w:pPr>
      <w:r>
        <w:rPr>
          <w:rFonts w:ascii="Times New Roman" w:hAnsi="Times New Roman"/>
          <w:b/>
        </w:rPr>
        <w:t>C4.</w:t>
      </w:r>
      <w:r>
        <w:rPr>
          <w:rFonts w:ascii="Times New Roman" w:hAnsi="Times New Roman"/>
          <w:b/>
        </w:rPr>
        <w:tab/>
        <w:t>Renforcement des capacités des laboratoires</w:t>
      </w:r>
      <w:r w:rsidR="00AD4EEC">
        <w:rPr>
          <w:rFonts w:ascii="Times New Roman" w:hAnsi="Times New Roman"/>
          <w:b/>
        </w:rPr>
        <w:t> :</w:t>
      </w:r>
      <w:r>
        <w:rPr>
          <w:rFonts w:ascii="Times New Roman" w:hAnsi="Times New Roman"/>
        </w:rPr>
        <w:t xml:space="preserve"> Une feuille de route concernant l</w:t>
      </w:r>
      <w:r w:rsidR="00AD4EEC">
        <w:rPr>
          <w:rFonts w:ascii="Times New Roman" w:hAnsi="Times New Roman"/>
        </w:rPr>
        <w:t>’</w:t>
      </w:r>
      <w:r>
        <w:rPr>
          <w:rFonts w:ascii="Times New Roman" w:hAnsi="Times New Roman"/>
        </w:rPr>
        <w:t>accréditation des laboratoires est en cours de révision. Nous avons démarré des activités visant à définir des normes régionales de référence pour la qualité des laboratoires et le niveau de qualification requis, pour ce qui est notamment du nombre de pathologistes requis à l</w:t>
      </w:r>
      <w:r w:rsidR="00AD4EEC">
        <w:rPr>
          <w:rFonts w:ascii="Times New Roman" w:hAnsi="Times New Roman"/>
        </w:rPr>
        <w:t>’</w:t>
      </w:r>
      <w:r>
        <w:rPr>
          <w:rFonts w:ascii="Times New Roman" w:hAnsi="Times New Roman"/>
        </w:rPr>
        <w:t>appui de services de laboratoire de meilleure qualité dans les États et Territoires insulaires océaniens, ainsi que du nombre de laboratoires accrédités requis dans la région, et nous envisageons de créer des mécanismes abordables d</w:t>
      </w:r>
      <w:r w:rsidR="00AD4EEC">
        <w:rPr>
          <w:rFonts w:ascii="Times New Roman" w:hAnsi="Times New Roman"/>
        </w:rPr>
        <w:t>’</w:t>
      </w:r>
      <w:r>
        <w:rPr>
          <w:rFonts w:ascii="Times New Roman" w:hAnsi="Times New Roman"/>
        </w:rPr>
        <w:t>accréditation des laboratoires océaniens.</w:t>
      </w:r>
    </w:p>
    <w:p w:rsidR="00A94FA5" w:rsidRPr="00166993" w:rsidRDefault="00150F4C" w:rsidP="00A94FA5">
      <w:pPr>
        <w:spacing w:before="240" w:after="240" w:line="360" w:lineRule="auto"/>
        <w:rPr>
          <w:rFonts w:ascii="Times New Roman" w:hAnsi="Times New Roman" w:cs="Times New Roman"/>
        </w:rPr>
      </w:pPr>
      <w:r>
        <w:rPr>
          <w:rFonts w:ascii="Times New Roman" w:hAnsi="Times New Roman"/>
          <w:b/>
        </w:rPr>
        <w:t>C5.</w:t>
      </w:r>
      <w:r>
        <w:rPr>
          <w:rFonts w:ascii="Times New Roman" w:hAnsi="Times New Roman"/>
          <w:b/>
        </w:rPr>
        <w:tab/>
        <w:t>Réponse aux menaces émergentes</w:t>
      </w:r>
      <w:r w:rsidR="00AD4EEC">
        <w:rPr>
          <w:rFonts w:ascii="Times New Roman" w:hAnsi="Times New Roman"/>
          <w:b/>
        </w:rPr>
        <w:t> :</w:t>
      </w:r>
      <w:r>
        <w:rPr>
          <w:rFonts w:ascii="Times New Roman" w:hAnsi="Times New Roman"/>
        </w:rPr>
        <w:t xml:space="preserve"> Avec l</w:t>
      </w:r>
      <w:r w:rsidR="00AD4EEC">
        <w:rPr>
          <w:rFonts w:ascii="Times New Roman" w:hAnsi="Times New Roman"/>
        </w:rPr>
        <w:t>’</w:t>
      </w:r>
      <w:r>
        <w:rPr>
          <w:rFonts w:ascii="Times New Roman" w:hAnsi="Times New Roman"/>
        </w:rPr>
        <w:t>appui financier de l</w:t>
      </w:r>
      <w:r w:rsidR="00AD4EEC">
        <w:rPr>
          <w:rFonts w:ascii="Times New Roman" w:hAnsi="Times New Roman"/>
        </w:rPr>
        <w:t>’</w:t>
      </w:r>
      <w:r>
        <w:rPr>
          <w:rFonts w:ascii="Times New Roman" w:hAnsi="Times New Roman"/>
        </w:rPr>
        <w:t xml:space="preserve">Agence française de développement, un manuel consacré à la surveillance et à la lutte contre le moustique </w:t>
      </w:r>
      <w:proofErr w:type="spellStart"/>
      <w:r>
        <w:rPr>
          <w:rFonts w:ascii="Times New Roman" w:hAnsi="Times New Roman"/>
          <w:i/>
          <w:iCs/>
        </w:rPr>
        <w:t>Aedes</w:t>
      </w:r>
      <w:proofErr w:type="spellEnd"/>
      <w:r>
        <w:rPr>
          <w:rFonts w:ascii="Times New Roman" w:hAnsi="Times New Roman"/>
        </w:rPr>
        <w:t xml:space="preserve"> dans le contexte océanien est en cours de rédaction. Une formation en entomologie sera dispensée aux techniciens et aux responsables des programmes de lutte </w:t>
      </w:r>
      <w:proofErr w:type="spellStart"/>
      <w:r>
        <w:rPr>
          <w:rFonts w:ascii="Times New Roman" w:hAnsi="Times New Roman"/>
        </w:rPr>
        <w:t>antivectorielle</w:t>
      </w:r>
      <w:proofErr w:type="spellEnd"/>
      <w:r>
        <w:rPr>
          <w:rFonts w:ascii="Times New Roman" w:hAnsi="Times New Roman"/>
        </w:rPr>
        <w:t>. Les États et Territoires insulaires océaniens se verront offrir un accompagnement pour harmoniser leurs recommandations nationales en matière de prévention et de lutte anti-infectieuse avec les recommandations régionales (annexe 4). En 2019, une formation en microbiologie sera dispensée dans six États et Territoires insulaires océaniens (annexe 4).</w:t>
      </w:r>
    </w:p>
    <w:p w:rsidR="00A94FA5" w:rsidRPr="00166993" w:rsidRDefault="00150F4C" w:rsidP="00A94FA5">
      <w:pPr>
        <w:spacing w:before="240" w:after="240" w:line="360" w:lineRule="auto"/>
        <w:rPr>
          <w:rFonts w:ascii="Times New Roman" w:hAnsi="Times New Roman" w:cs="Times New Roman"/>
        </w:rPr>
      </w:pPr>
      <w:r>
        <w:rPr>
          <w:rFonts w:ascii="Times New Roman" w:hAnsi="Times New Roman"/>
          <w:b/>
        </w:rPr>
        <w:t>C6.</w:t>
      </w:r>
      <w:r>
        <w:rPr>
          <w:rFonts w:ascii="Times New Roman" w:hAnsi="Times New Roman"/>
          <w:b/>
        </w:rPr>
        <w:tab/>
        <w:t>Transposition des efforts de renforcement des capacités en systèmes de santé publique améliorés</w:t>
      </w:r>
      <w:r w:rsidR="00AD4EEC">
        <w:rPr>
          <w:rFonts w:ascii="Times New Roman" w:hAnsi="Times New Roman"/>
          <w:b/>
        </w:rPr>
        <w:t> :</w:t>
      </w:r>
      <w:r>
        <w:rPr>
          <w:rFonts w:ascii="Times New Roman" w:hAnsi="Times New Roman"/>
        </w:rPr>
        <w:t xml:space="preserve"> Plusieurs groupes de formation et projets d</w:t>
      </w:r>
      <w:r w:rsidR="00AD4EEC">
        <w:rPr>
          <w:rFonts w:ascii="Times New Roman" w:hAnsi="Times New Roman"/>
        </w:rPr>
        <w:t>’</w:t>
      </w:r>
      <w:r>
        <w:rPr>
          <w:rFonts w:ascii="Times New Roman" w:hAnsi="Times New Roman"/>
        </w:rPr>
        <w:t>amélioration des systèmes sont en cours. En plus des groupes sous-régionaux qui continueront leur formation cette année, de nouveaux groupes commenceront le cursus PGCFE dans sept États et Territoires insulaires océaniens</w:t>
      </w:r>
      <w:r w:rsidR="00A94FA5" w:rsidRPr="00166993">
        <w:rPr>
          <w:rStyle w:val="FootnoteReference"/>
          <w:rFonts w:ascii="Times New Roman" w:hAnsi="Times New Roman" w:cs="Times New Roman"/>
        </w:rPr>
        <w:footnoteReference w:id="8"/>
      </w:r>
      <w:r>
        <w:rPr>
          <w:rFonts w:ascii="Times New Roman" w:hAnsi="Times New Roman"/>
        </w:rPr>
        <w:t xml:space="preserve"> du Pacifique Sud en 2019. Un manuel de formation destiné aux formateurs et aux personnes suivant le cursus PGCFE est en cours d</w:t>
      </w:r>
      <w:r w:rsidR="00AD4EEC">
        <w:rPr>
          <w:rFonts w:ascii="Times New Roman" w:hAnsi="Times New Roman"/>
        </w:rPr>
        <w:t>’</w:t>
      </w:r>
      <w:r>
        <w:rPr>
          <w:rFonts w:ascii="Times New Roman" w:hAnsi="Times New Roman"/>
        </w:rPr>
        <w:t>élaboration. Il est par ailleurs prévu de faire traduire les cours pour qu</w:t>
      </w:r>
      <w:r w:rsidR="00AD4EEC">
        <w:rPr>
          <w:rFonts w:ascii="Times New Roman" w:hAnsi="Times New Roman"/>
        </w:rPr>
        <w:t>’</w:t>
      </w:r>
      <w:r>
        <w:rPr>
          <w:rFonts w:ascii="Times New Roman" w:hAnsi="Times New Roman"/>
        </w:rPr>
        <w:t>ils puissent être dispensés dans les pays francophones en 2020–2021. Le premier groupe pour le prochain niveau du programme SHIP (diplôme de deuxième cycle) suivra la formation en 2020 (annexe 5).</w:t>
      </w:r>
    </w:p>
    <w:p w:rsidR="0017197C" w:rsidRPr="003E4C41" w:rsidRDefault="0017197C" w:rsidP="0017197C">
      <w:pPr>
        <w:spacing w:before="480" w:after="480" w:line="360" w:lineRule="auto"/>
        <w:jc w:val="center"/>
        <w:rPr>
          <w:rFonts w:ascii="Times New Roman" w:eastAsia="Malgun Gothic" w:hAnsi="Times New Roman" w:cs="Times New Roman"/>
          <w:b/>
          <w:bCs/>
        </w:rPr>
      </w:pPr>
      <w:r>
        <w:rPr>
          <w:rFonts w:ascii="Times New Roman" w:hAnsi="Times New Roman"/>
          <w:b/>
          <w:bCs/>
        </w:rPr>
        <w:t>3.  CONCLUSIONS</w:t>
      </w:r>
    </w:p>
    <w:p w:rsidR="00291DF6" w:rsidRPr="003E4C41" w:rsidRDefault="00291DF6" w:rsidP="00150F4C">
      <w:pPr>
        <w:spacing w:before="240" w:after="240" w:line="360" w:lineRule="auto"/>
        <w:ind w:firstLine="720"/>
        <w:rPr>
          <w:rFonts w:ascii="Times New Roman" w:eastAsia="Malgun Gothic" w:hAnsi="Times New Roman" w:cs="Times New Roman"/>
          <w:bCs/>
        </w:rPr>
      </w:pPr>
      <w:r>
        <w:rPr>
          <w:rFonts w:ascii="Times New Roman" w:hAnsi="Times New Roman"/>
          <w:bCs/>
        </w:rPr>
        <w:t>Le ROSSP s</w:t>
      </w:r>
      <w:r w:rsidR="00AD4EEC">
        <w:rPr>
          <w:rFonts w:ascii="Times New Roman" w:hAnsi="Times New Roman"/>
          <w:bCs/>
        </w:rPr>
        <w:t>’</w:t>
      </w:r>
      <w:r>
        <w:rPr>
          <w:rFonts w:ascii="Times New Roman" w:hAnsi="Times New Roman"/>
          <w:bCs/>
        </w:rPr>
        <w:t>adapte et continuera de s</w:t>
      </w:r>
      <w:r w:rsidR="00AD4EEC">
        <w:rPr>
          <w:rFonts w:ascii="Times New Roman" w:hAnsi="Times New Roman"/>
          <w:bCs/>
        </w:rPr>
        <w:t>’</w:t>
      </w:r>
      <w:r>
        <w:rPr>
          <w:rFonts w:ascii="Times New Roman" w:hAnsi="Times New Roman"/>
          <w:bCs/>
        </w:rPr>
        <w:t>adapter pour tenir compte des menaces modernes pesant sur la santé publique en Océanie et pour réagir face à ces menaces. L</w:t>
      </w:r>
      <w:r w:rsidR="00AD4EEC">
        <w:rPr>
          <w:rFonts w:ascii="Times New Roman" w:hAnsi="Times New Roman"/>
          <w:bCs/>
        </w:rPr>
        <w:t>’</w:t>
      </w:r>
      <w:r>
        <w:rPr>
          <w:rFonts w:ascii="Times New Roman" w:hAnsi="Times New Roman"/>
          <w:bCs/>
        </w:rPr>
        <w:t>élargissement des activités de surveillance conduites par le ROSSP à d</w:t>
      </w:r>
      <w:r w:rsidR="00AD4EEC">
        <w:rPr>
          <w:rFonts w:ascii="Times New Roman" w:hAnsi="Times New Roman"/>
          <w:bCs/>
        </w:rPr>
        <w:t>’</w:t>
      </w:r>
      <w:r>
        <w:rPr>
          <w:rFonts w:ascii="Times New Roman" w:hAnsi="Times New Roman"/>
          <w:bCs/>
        </w:rPr>
        <w:t>autres systèmes en la matière consolidera les capacités océaniennes de surveillance face aux infections émergentes et ré-émergentes. Étant donné les faibles avancées accomplies par les laboratoires océaniens au regard des objectifs de performance et de gestion de la qualité à atteindre pour bénéficier de l</w:t>
      </w:r>
      <w:r w:rsidR="00AD4EEC">
        <w:rPr>
          <w:rFonts w:ascii="Times New Roman" w:hAnsi="Times New Roman"/>
          <w:bCs/>
        </w:rPr>
        <w:t>’</w:t>
      </w:r>
      <w:r>
        <w:rPr>
          <w:rFonts w:ascii="Times New Roman" w:hAnsi="Times New Roman"/>
          <w:bCs/>
        </w:rPr>
        <w:t xml:space="preserve">accréditation internationale, il apparaît que </w:t>
      </w:r>
      <w:r>
        <w:rPr>
          <w:rFonts w:ascii="Times New Roman" w:hAnsi="Times New Roman"/>
          <w:bCs/>
        </w:rPr>
        <w:lastRenderedPageBreak/>
        <w:t>les laboratoires ne pourront l</w:t>
      </w:r>
      <w:r w:rsidR="00AD4EEC">
        <w:rPr>
          <w:rFonts w:ascii="Times New Roman" w:hAnsi="Times New Roman"/>
          <w:bCs/>
        </w:rPr>
        <w:t>’</w:t>
      </w:r>
      <w:r>
        <w:rPr>
          <w:rFonts w:ascii="Times New Roman" w:hAnsi="Times New Roman"/>
          <w:bCs/>
        </w:rPr>
        <w:t>obtenir en l</w:t>
      </w:r>
      <w:r w:rsidR="00AD4EEC">
        <w:rPr>
          <w:rFonts w:ascii="Times New Roman" w:hAnsi="Times New Roman"/>
          <w:bCs/>
        </w:rPr>
        <w:t>’</w:t>
      </w:r>
      <w:r>
        <w:rPr>
          <w:rFonts w:ascii="Times New Roman" w:hAnsi="Times New Roman"/>
          <w:bCs/>
        </w:rPr>
        <w:t>absence d</w:t>
      </w:r>
      <w:r w:rsidR="00AD4EEC">
        <w:rPr>
          <w:rFonts w:ascii="Times New Roman" w:hAnsi="Times New Roman"/>
          <w:bCs/>
        </w:rPr>
        <w:t>’</w:t>
      </w:r>
      <w:r>
        <w:rPr>
          <w:rFonts w:ascii="Times New Roman" w:hAnsi="Times New Roman"/>
          <w:bCs/>
        </w:rPr>
        <w:t>investissements financiers et d</w:t>
      </w:r>
      <w:r w:rsidR="00AD4EEC">
        <w:rPr>
          <w:rFonts w:ascii="Times New Roman" w:hAnsi="Times New Roman"/>
          <w:bCs/>
        </w:rPr>
        <w:t>’</w:t>
      </w:r>
      <w:r>
        <w:rPr>
          <w:rFonts w:ascii="Times New Roman" w:hAnsi="Times New Roman"/>
          <w:bCs/>
        </w:rPr>
        <w:t>engagements de la part des pouvoirs publics. Le programme SHIP de renforcement des capacités qui a vu le jour en réponse à la demande des ministres océaniens de la Santé contribue à l</w:t>
      </w:r>
      <w:r w:rsidR="00AD4EEC">
        <w:rPr>
          <w:rFonts w:ascii="Times New Roman" w:hAnsi="Times New Roman"/>
          <w:bCs/>
        </w:rPr>
        <w:t>’</w:t>
      </w:r>
      <w:r>
        <w:rPr>
          <w:rFonts w:ascii="Times New Roman" w:hAnsi="Times New Roman"/>
          <w:bCs/>
        </w:rPr>
        <w:t>amélioration des compétences essentielles requises dans le domaine de la gestion des données afin d</w:t>
      </w:r>
      <w:r w:rsidR="00AD4EEC">
        <w:rPr>
          <w:rFonts w:ascii="Times New Roman" w:hAnsi="Times New Roman"/>
          <w:bCs/>
        </w:rPr>
        <w:t>’</w:t>
      </w:r>
      <w:r>
        <w:rPr>
          <w:rFonts w:ascii="Times New Roman" w:hAnsi="Times New Roman"/>
          <w:bCs/>
        </w:rPr>
        <w:t xml:space="preserve">aider les services de santé à lutter plus efficacement contre la forte prévalence des maladies non transmissibles, contre les maladies transmissibles émergentes et endémiques, et contre les effets croissants du changement climatique sur la santé. </w:t>
      </w:r>
      <w:r w:rsidRPr="00554442">
        <w:rPr>
          <w:rFonts w:ascii="Times New Roman" w:hAnsi="Times New Roman" w:cs="Times New Roman"/>
        </w:rPr>
        <w:t>Ce programme est également un moyen de consolider les systèmes sanitaires en vue d</w:t>
      </w:r>
      <w:r w:rsidR="00AD4EEC" w:rsidRPr="00554442">
        <w:rPr>
          <w:rFonts w:ascii="Times New Roman" w:hAnsi="Times New Roman" w:cs="Times New Roman"/>
        </w:rPr>
        <w:t>’</w:t>
      </w:r>
      <w:r w:rsidRPr="00554442">
        <w:rPr>
          <w:rFonts w:ascii="Times New Roman" w:hAnsi="Times New Roman" w:cs="Times New Roman"/>
        </w:rPr>
        <w:t>accélérer les progrès visant à la concrétisation du</w:t>
      </w:r>
      <w:r>
        <w:t xml:space="preserve"> </w:t>
      </w:r>
      <w:hyperlink r:id="rId14" w:history="1">
        <w:r>
          <w:rPr>
            <w:rStyle w:val="Hyperlink"/>
            <w:rFonts w:ascii="Times New Roman" w:hAnsi="Times New Roman"/>
          </w:rPr>
          <w:t>concept océanien des îles-santé</w:t>
        </w:r>
      </w:hyperlink>
      <w:r>
        <w:rPr>
          <w:rStyle w:val="Hyperlink"/>
          <w:color w:val="auto"/>
          <w:u w:val="none"/>
        </w:rPr>
        <w:t>.</w:t>
      </w:r>
      <w:r>
        <w:rPr>
          <w:rStyle w:val="Hyperlink"/>
          <w:rFonts w:ascii="Times New Roman" w:hAnsi="Times New Roman"/>
        </w:rPr>
        <w:t xml:space="preserve"> </w:t>
      </w:r>
      <w:r>
        <w:rPr>
          <w:rFonts w:ascii="Times New Roman" w:hAnsi="Times New Roman"/>
          <w:bCs/>
        </w:rPr>
        <w:t xml:space="preserve">  </w:t>
      </w:r>
    </w:p>
    <w:p w:rsidR="00A94FA5" w:rsidRPr="003E4C41" w:rsidRDefault="00150F4C" w:rsidP="00A94FA5">
      <w:pPr>
        <w:spacing w:before="240" w:after="240" w:line="360" w:lineRule="auto"/>
        <w:rPr>
          <w:rFonts w:ascii="Times New Roman" w:eastAsia="Malgun Gothic" w:hAnsi="Times New Roman" w:cs="Times New Roman"/>
          <w:bCs/>
        </w:rPr>
      </w:pPr>
      <w:r>
        <w:rPr>
          <w:rFonts w:ascii="Times New Roman" w:hAnsi="Times New Roman"/>
          <w:bCs/>
        </w:rPr>
        <w:t>Nous invitons les ministres océaniens de la Santé à</w:t>
      </w:r>
      <w:r w:rsidR="00AD4EEC">
        <w:rPr>
          <w:rFonts w:ascii="Times New Roman" w:hAnsi="Times New Roman"/>
          <w:bCs/>
        </w:rPr>
        <w:t> :</w:t>
      </w:r>
    </w:p>
    <w:p w:rsidR="00A94FA5" w:rsidRPr="003E4C41" w:rsidRDefault="00A94FA5" w:rsidP="00271D12">
      <w:pPr>
        <w:pStyle w:val="ListParagraph"/>
        <w:numPr>
          <w:ilvl w:val="0"/>
          <w:numId w:val="41"/>
        </w:numPr>
        <w:spacing w:before="120" w:after="120" w:line="360" w:lineRule="auto"/>
        <w:ind w:left="714" w:hanging="357"/>
        <w:contextualSpacing w:val="0"/>
        <w:rPr>
          <w:rFonts w:ascii="Times New Roman" w:eastAsia="Malgun Gothic" w:hAnsi="Times New Roman" w:cs="Times New Roman"/>
          <w:bCs/>
        </w:rPr>
      </w:pPr>
      <w:r>
        <w:rPr>
          <w:rFonts w:ascii="Times New Roman" w:hAnsi="Times New Roman"/>
          <w:bCs/>
        </w:rPr>
        <w:t>veiller à la participation des correspondants nationaux aux consultations qui seront conduites dans le cadre de l</w:t>
      </w:r>
      <w:r w:rsidR="00AD4EEC">
        <w:rPr>
          <w:rFonts w:ascii="Times New Roman" w:hAnsi="Times New Roman"/>
          <w:bCs/>
        </w:rPr>
        <w:t>’</w:t>
      </w:r>
      <w:r>
        <w:rPr>
          <w:rFonts w:ascii="Times New Roman" w:hAnsi="Times New Roman"/>
          <w:bCs/>
        </w:rPr>
        <w:t>examen du ROSSP</w:t>
      </w:r>
      <w:r w:rsidR="00AD4EEC">
        <w:rPr>
          <w:rFonts w:ascii="Times New Roman" w:hAnsi="Times New Roman"/>
          <w:bCs/>
        </w:rPr>
        <w:t> ;</w:t>
      </w:r>
    </w:p>
    <w:p w:rsidR="00A94FA5" w:rsidRPr="003E4C41" w:rsidRDefault="00A94FA5" w:rsidP="00271D12">
      <w:pPr>
        <w:pStyle w:val="ListParagraph"/>
        <w:numPr>
          <w:ilvl w:val="0"/>
          <w:numId w:val="41"/>
        </w:numPr>
        <w:spacing w:before="120" w:after="120" w:line="360" w:lineRule="auto"/>
        <w:ind w:left="714" w:hanging="357"/>
        <w:contextualSpacing w:val="0"/>
        <w:rPr>
          <w:rFonts w:ascii="Times New Roman" w:eastAsia="Malgun Gothic" w:hAnsi="Times New Roman" w:cs="Times New Roman"/>
          <w:bCs/>
        </w:rPr>
      </w:pPr>
      <w:r>
        <w:rPr>
          <w:rFonts w:ascii="Times New Roman" w:hAnsi="Times New Roman"/>
          <w:bCs/>
        </w:rPr>
        <w:t>faire en sorte que les organismes de santé informent le plus rapidement possible l</w:t>
      </w:r>
      <w:r w:rsidR="00AD4EEC">
        <w:rPr>
          <w:rFonts w:ascii="Times New Roman" w:hAnsi="Times New Roman"/>
          <w:bCs/>
        </w:rPr>
        <w:t>’</w:t>
      </w:r>
      <w:r>
        <w:rPr>
          <w:rFonts w:ascii="Times New Roman" w:hAnsi="Times New Roman"/>
          <w:bCs/>
        </w:rPr>
        <w:t>OMS, la CPS et les Centres de lutte contre la maladie (CDC) des cas suspectés de flambées épidémiques, et déclarent officiellement les épidémies éteintes dans le respect des délais</w:t>
      </w:r>
      <w:r w:rsidR="007E1BE8">
        <w:rPr>
          <w:rFonts w:ascii="Times New Roman" w:hAnsi="Times New Roman"/>
          <w:bCs/>
        </w:rPr>
        <w:t xml:space="preserve"> </w:t>
      </w:r>
      <w:r w:rsidR="003C682D">
        <w:rPr>
          <w:rFonts w:ascii="Times New Roman" w:hAnsi="Times New Roman"/>
          <w:bCs/>
        </w:rPr>
        <w:t>retenus</w:t>
      </w:r>
      <w:r w:rsidR="00AD4EEC">
        <w:rPr>
          <w:rFonts w:ascii="Times New Roman" w:hAnsi="Times New Roman"/>
          <w:bCs/>
        </w:rPr>
        <w:t> ;</w:t>
      </w:r>
      <w:r>
        <w:rPr>
          <w:rFonts w:ascii="Times New Roman" w:hAnsi="Times New Roman"/>
          <w:bCs/>
        </w:rPr>
        <w:t xml:space="preserve"> </w:t>
      </w:r>
    </w:p>
    <w:p w:rsidR="00A94FA5" w:rsidRPr="006C35DB" w:rsidRDefault="00A94FA5" w:rsidP="00271D12">
      <w:pPr>
        <w:pStyle w:val="ListParagraph"/>
        <w:numPr>
          <w:ilvl w:val="0"/>
          <w:numId w:val="41"/>
        </w:numPr>
        <w:spacing w:before="120" w:after="120" w:line="360" w:lineRule="auto"/>
        <w:ind w:left="714" w:hanging="357"/>
        <w:contextualSpacing w:val="0"/>
        <w:rPr>
          <w:rStyle w:val="CommentReference"/>
          <w:rFonts w:ascii="Times New Roman" w:eastAsia="Malgun Gothic" w:hAnsi="Times New Roman" w:cs="Times New Roman"/>
          <w:bCs/>
          <w:sz w:val="22"/>
          <w:szCs w:val="22"/>
        </w:rPr>
      </w:pPr>
      <w:r>
        <w:rPr>
          <w:rFonts w:ascii="Times New Roman" w:hAnsi="Times New Roman"/>
        </w:rPr>
        <w:t>veiller à ce que les organismes de santé partagent les récits et documents liés aux activités de surveillance et de réponse avec le point de contact du Groupe de coordination du ROSSP afin qu</w:t>
      </w:r>
      <w:r w:rsidR="00AD4EEC">
        <w:rPr>
          <w:rFonts w:ascii="Times New Roman" w:hAnsi="Times New Roman"/>
        </w:rPr>
        <w:t>’</w:t>
      </w:r>
      <w:r>
        <w:rPr>
          <w:rFonts w:ascii="Times New Roman" w:hAnsi="Times New Roman"/>
        </w:rPr>
        <w:t>ils soient publiés sur le nouveau site Web du ROSSP</w:t>
      </w:r>
      <w:r w:rsidR="00AD4EEC">
        <w:rPr>
          <w:rFonts w:ascii="Times New Roman" w:hAnsi="Times New Roman"/>
        </w:rPr>
        <w:t> ;</w:t>
      </w:r>
    </w:p>
    <w:p w:rsidR="00A94FA5" w:rsidRPr="00AB71A2" w:rsidRDefault="00A94FA5" w:rsidP="00271D12">
      <w:pPr>
        <w:pStyle w:val="ListParagraph"/>
        <w:numPr>
          <w:ilvl w:val="0"/>
          <w:numId w:val="41"/>
        </w:numPr>
        <w:spacing w:before="120" w:after="120" w:line="360" w:lineRule="auto"/>
        <w:ind w:left="714" w:hanging="357"/>
        <w:contextualSpacing w:val="0"/>
        <w:rPr>
          <w:rFonts w:ascii="Times New Roman" w:eastAsia="Malgun Gothic" w:hAnsi="Times New Roman" w:cs="Times New Roman"/>
          <w:bCs/>
        </w:rPr>
      </w:pPr>
      <w:r>
        <w:rPr>
          <w:rFonts w:ascii="Times New Roman" w:hAnsi="Times New Roman"/>
          <w:bCs/>
        </w:rPr>
        <w:t>appuyer l</w:t>
      </w:r>
      <w:r w:rsidR="00AD4EEC">
        <w:rPr>
          <w:rFonts w:ascii="Times New Roman" w:hAnsi="Times New Roman"/>
          <w:bCs/>
        </w:rPr>
        <w:t>’</w:t>
      </w:r>
      <w:r>
        <w:rPr>
          <w:rFonts w:ascii="Times New Roman" w:hAnsi="Times New Roman"/>
          <w:bCs/>
        </w:rPr>
        <w:t>expansion et le financement du World Mosquito Program (WMP), qui ne couvre actuellement que quatre États et Territoires insulaires océaniens</w:t>
      </w:r>
      <w:r w:rsidR="00AD4EEC">
        <w:rPr>
          <w:rFonts w:ascii="Times New Roman" w:hAnsi="Times New Roman"/>
          <w:bCs/>
        </w:rPr>
        <w:t> ;</w:t>
      </w:r>
      <w:r>
        <w:rPr>
          <w:rFonts w:ascii="Times New Roman" w:hAnsi="Times New Roman"/>
          <w:bCs/>
        </w:rPr>
        <w:t xml:space="preserve">  </w:t>
      </w:r>
    </w:p>
    <w:p w:rsidR="00A94FA5" w:rsidRPr="00AB71A2" w:rsidRDefault="00A94FA5" w:rsidP="00271D12">
      <w:pPr>
        <w:pStyle w:val="ListParagraph"/>
        <w:numPr>
          <w:ilvl w:val="0"/>
          <w:numId w:val="41"/>
        </w:numPr>
        <w:spacing w:before="120" w:after="120" w:line="360" w:lineRule="auto"/>
        <w:ind w:left="714" w:hanging="357"/>
        <w:contextualSpacing w:val="0"/>
        <w:rPr>
          <w:rFonts w:ascii="Times New Roman" w:eastAsia="Malgun Gothic" w:hAnsi="Times New Roman" w:cs="Times New Roman"/>
          <w:bCs/>
        </w:rPr>
      </w:pPr>
      <w:r>
        <w:rPr>
          <w:rFonts w:ascii="Times New Roman" w:hAnsi="Times New Roman"/>
        </w:rPr>
        <w:t>adopter la recommandation émanant de la réunion régionale 2019 du ROSSP en faveur de l</w:t>
      </w:r>
      <w:r w:rsidR="00AD4EEC">
        <w:rPr>
          <w:rFonts w:ascii="Times New Roman" w:hAnsi="Times New Roman"/>
        </w:rPr>
        <w:t>’</w:t>
      </w:r>
      <w:r>
        <w:rPr>
          <w:rFonts w:ascii="Times New Roman" w:hAnsi="Times New Roman"/>
        </w:rPr>
        <w:t>élargissement des activités de surveillance de sorte qu</w:t>
      </w:r>
      <w:r w:rsidR="00AD4EEC">
        <w:rPr>
          <w:rFonts w:ascii="Times New Roman" w:hAnsi="Times New Roman"/>
        </w:rPr>
        <w:t>’</w:t>
      </w:r>
      <w:r>
        <w:rPr>
          <w:rFonts w:ascii="Times New Roman" w:hAnsi="Times New Roman"/>
        </w:rPr>
        <w:t>elles couvrent, outre la surveillance syndromique, la surveillance des événements de santé, la surveillance en milieu hospitalier, la surveillance de la résistance aux antimicrobiens, la surveillance en laboratoire, la surveillance des maladies à déclaration obligatoire, la surveillance des vecteurs et la carte d</w:t>
      </w:r>
      <w:r w:rsidR="00AD4EEC">
        <w:rPr>
          <w:rFonts w:ascii="Times New Roman" w:hAnsi="Times New Roman"/>
        </w:rPr>
        <w:t>’</w:t>
      </w:r>
      <w:r>
        <w:rPr>
          <w:rFonts w:ascii="Times New Roman" w:hAnsi="Times New Roman"/>
        </w:rPr>
        <w:t>alertes</w:t>
      </w:r>
      <w:r w:rsidR="00AD4EEC">
        <w:rPr>
          <w:rFonts w:ascii="Times New Roman" w:hAnsi="Times New Roman"/>
        </w:rPr>
        <w:t> ;</w:t>
      </w:r>
      <w:r>
        <w:rPr>
          <w:rFonts w:ascii="Times New Roman" w:hAnsi="Times New Roman"/>
          <w:bCs/>
        </w:rPr>
        <w:t xml:space="preserve"> </w:t>
      </w:r>
    </w:p>
    <w:p w:rsidR="00A94FA5" w:rsidRPr="00AB71A2" w:rsidRDefault="00A94FA5" w:rsidP="00271D12">
      <w:pPr>
        <w:pStyle w:val="ListParagraph"/>
        <w:numPr>
          <w:ilvl w:val="0"/>
          <w:numId w:val="41"/>
        </w:numPr>
        <w:spacing w:before="120" w:after="120" w:line="360" w:lineRule="auto"/>
        <w:ind w:left="714" w:hanging="357"/>
        <w:contextualSpacing w:val="0"/>
        <w:rPr>
          <w:rFonts w:ascii="Times New Roman" w:eastAsia="Malgun Gothic" w:hAnsi="Times New Roman" w:cs="Times New Roman"/>
          <w:bCs/>
        </w:rPr>
      </w:pPr>
      <w:r>
        <w:rPr>
          <w:rFonts w:ascii="Times New Roman" w:hAnsi="Times New Roman"/>
          <w:bCs/>
        </w:rPr>
        <w:t>adopter la recommandation émanant de la réunion régionale 2019 du ROSSP qui préconise la communication par les pays des taux de mortalité liés aux cas confirmés de grippe et de dengue</w:t>
      </w:r>
      <w:r w:rsidR="00AD4EEC">
        <w:rPr>
          <w:rFonts w:ascii="Times New Roman" w:hAnsi="Times New Roman"/>
          <w:bCs/>
        </w:rPr>
        <w:t> ;</w:t>
      </w:r>
    </w:p>
    <w:p w:rsidR="00A94FA5" w:rsidRPr="00AB71A2" w:rsidRDefault="00A94FA5" w:rsidP="00271D12">
      <w:pPr>
        <w:pStyle w:val="ListParagraph"/>
        <w:numPr>
          <w:ilvl w:val="0"/>
          <w:numId w:val="41"/>
        </w:numPr>
        <w:spacing w:before="120" w:after="120" w:line="360" w:lineRule="auto"/>
        <w:ind w:left="714" w:hanging="357"/>
        <w:contextualSpacing w:val="0"/>
        <w:rPr>
          <w:rFonts w:ascii="Times New Roman" w:eastAsia="Malgun Gothic" w:hAnsi="Times New Roman" w:cs="Times New Roman"/>
          <w:bCs/>
        </w:rPr>
      </w:pPr>
      <w:r>
        <w:rPr>
          <w:rFonts w:ascii="Times New Roman" w:hAnsi="Times New Roman"/>
          <w:bCs/>
        </w:rPr>
        <w:t>soutenir l</w:t>
      </w:r>
      <w:r w:rsidR="00AD4EEC">
        <w:rPr>
          <w:rFonts w:ascii="Times New Roman" w:hAnsi="Times New Roman"/>
          <w:bCs/>
        </w:rPr>
        <w:t>’</w:t>
      </w:r>
      <w:r>
        <w:rPr>
          <w:rFonts w:ascii="Times New Roman" w:hAnsi="Times New Roman"/>
          <w:bCs/>
        </w:rPr>
        <w:t>élaboration de plans nationaux pour combattre la résistance aux antimicrobiens, et l</w:t>
      </w:r>
      <w:r w:rsidR="00AD4EEC">
        <w:rPr>
          <w:rFonts w:ascii="Times New Roman" w:hAnsi="Times New Roman"/>
          <w:bCs/>
        </w:rPr>
        <w:t>’</w:t>
      </w:r>
      <w:r>
        <w:rPr>
          <w:rFonts w:ascii="Times New Roman" w:hAnsi="Times New Roman"/>
          <w:bCs/>
        </w:rPr>
        <w:t>actualisation des politiques nationales de prévention et de lutte anti-infectieuse</w:t>
      </w:r>
      <w:r w:rsidR="00AD4EEC">
        <w:rPr>
          <w:rFonts w:ascii="Times New Roman" w:hAnsi="Times New Roman"/>
          <w:bCs/>
        </w:rPr>
        <w:t> ;</w:t>
      </w:r>
    </w:p>
    <w:p w:rsidR="00A94FA5" w:rsidRPr="00AB71A2" w:rsidRDefault="00A94FA5" w:rsidP="00271D12">
      <w:pPr>
        <w:pStyle w:val="ListParagraph"/>
        <w:numPr>
          <w:ilvl w:val="0"/>
          <w:numId w:val="41"/>
        </w:numPr>
        <w:spacing w:before="120" w:after="120" w:line="360" w:lineRule="auto"/>
        <w:ind w:left="714" w:hanging="357"/>
        <w:contextualSpacing w:val="0"/>
        <w:rPr>
          <w:rFonts w:ascii="Times New Roman" w:eastAsia="Malgun Gothic" w:hAnsi="Times New Roman" w:cs="Times New Roman"/>
          <w:bCs/>
        </w:rPr>
      </w:pPr>
      <w:r>
        <w:rPr>
          <w:rFonts w:ascii="Times New Roman" w:hAnsi="Times New Roman"/>
          <w:bCs/>
        </w:rPr>
        <w:t>appuyer les activités de renforcement des capacités des services de laboratoire afin d</w:t>
      </w:r>
      <w:r w:rsidR="00AD4EEC">
        <w:rPr>
          <w:rFonts w:ascii="Times New Roman" w:hAnsi="Times New Roman"/>
          <w:bCs/>
        </w:rPr>
        <w:t>’</w:t>
      </w:r>
      <w:r>
        <w:rPr>
          <w:rFonts w:ascii="Times New Roman" w:hAnsi="Times New Roman"/>
          <w:bCs/>
        </w:rPr>
        <w:t>améliorer leur qualité dans la région, et approuver l</w:t>
      </w:r>
      <w:r w:rsidR="00AD4EEC">
        <w:rPr>
          <w:rFonts w:ascii="Times New Roman" w:hAnsi="Times New Roman"/>
          <w:bCs/>
        </w:rPr>
        <w:t>’</w:t>
      </w:r>
      <w:r>
        <w:rPr>
          <w:rFonts w:ascii="Times New Roman" w:hAnsi="Times New Roman"/>
          <w:bCs/>
        </w:rPr>
        <w:t>élaboration par le ROSSP d</w:t>
      </w:r>
      <w:r w:rsidR="00AD4EEC">
        <w:rPr>
          <w:rFonts w:ascii="Times New Roman" w:hAnsi="Times New Roman"/>
          <w:bCs/>
        </w:rPr>
        <w:t>’</w:t>
      </w:r>
      <w:r>
        <w:rPr>
          <w:rFonts w:ascii="Times New Roman" w:hAnsi="Times New Roman"/>
          <w:bCs/>
        </w:rPr>
        <w:t>un système d</w:t>
      </w:r>
      <w:r w:rsidR="00AD4EEC">
        <w:rPr>
          <w:rFonts w:ascii="Times New Roman" w:hAnsi="Times New Roman"/>
          <w:bCs/>
        </w:rPr>
        <w:t>’</w:t>
      </w:r>
      <w:r>
        <w:rPr>
          <w:rFonts w:ascii="Times New Roman" w:hAnsi="Times New Roman"/>
          <w:bCs/>
        </w:rPr>
        <w:t>accréditation qui soit abordable et adapté aux besoins et conditions des États et Territoires insulaires océaniens</w:t>
      </w:r>
      <w:r w:rsidR="00AD4EEC">
        <w:rPr>
          <w:rFonts w:ascii="Times New Roman" w:hAnsi="Times New Roman"/>
          <w:bCs/>
        </w:rPr>
        <w:t> ;</w:t>
      </w:r>
      <w:r>
        <w:rPr>
          <w:rFonts w:ascii="Times New Roman" w:hAnsi="Times New Roman"/>
          <w:bCs/>
        </w:rPr>
        <w:t xml:space="preserve"> </w:t>
      </w:r>
    </w:p>
    <w:p w:rsidR="00A94FA5" w:rsidRPr="00AB71A2" w:rsidRDefault="00A94FA5" w:rsidP="00271D12">
      <w:pPr>
        <w:pStyle w:val="ListParagraph"/>
        <w:numPr>
          <w:ilvl w:val="0"/>
          <w:numId w:val="41"/>
        </w:numPr>
        <w:spacing w:before="120" w:after="120" w:line="360" w:lineRule="auto"/>
        <w:ind w:left="714" w:hanging="357"/>
        <w:contextualSpacing w:val="0"/>
        <w:rPr>
          <w:rFonts w:ascii="Times New Roman" w:eastAsia="Malgun Gothic" w:hAnsi="Times New Roman" w:cs="Times New Roman"/>
          <w:bCs/>
        </w:rPr>
      </w:pPr>
      <w:r>
        <w:rPr>
          <w:rFonts w:ascii="Times New Roman" w:hAnsi="Times New Roman"/>
          <w:bCs/>
        </w:rPr>
        <w:lastRenderedPageBreak/>
        <w:t>veiller à l</w:t>
      </w:r>
      <w:r w:rsidR="00AD4EEC">
        <w:rPr>
          <w:rFonts w:ascii="Times New Roman" w:hAnsi="Times New Roman"/>
          <w:bCs/>
        </w:rPr>
        <w:t>’</w:t>
      </w:r>
      <w:r>
        <w:rPr>
          <w:rFonts w:ascii="Times New Roman" w:hAnsi="Times New Roman"/>
          <w:bCs/>
        </w:rPr>
        <w:t xml:space="preserve">actualisation/la révision par les correspondants nationaux de leurs </w:t>
      </w:r>
      <w:r w:rsidR="00866372">
        <w:rPr>
          <w:rFonts w:ascii="Times New Roman" w:hAnsi="Times New Roman"/>
          <w:bCs/>
        </w:rPr>
        <w:t>inventaires de réactifs</w:t>
      </w:r>
      <w:r>
        <w:rPr>
          <w:rFonts w:ascii="Times New Roman" w:hAnsi="Times New Roman"/>
          <w:bCs/>
        </w:rPr>
        <w:t xml:space="preserve"> et des protocoles mis en place pour satisfaire aux exigences de santé et de sécurité relatives à la manipulation d</w:t>
      </w:r>
      <w:r w:rsidR="00866372">
        <w:rPr>
          <w:rFonts w:ascii="Times New Roman" w:hAnsi="Times New Roman"/>
          <w:bCs/>
        </w:rPr>
        <w:t>e réactifs</w:t>
      </w:r>
      <w:r w:rsidR="00AD4EEC">
        <w:rPr>
          <w:rFonts w:ascii="Times New Roman" w:hAnsi="Times New Roman"/>
          <w:bCs/>
        </w:rPr>
        <w:t> ;</w:t>
      </w:r>
      <w:r>
        <w:rPr>
          <w:rFonts w:ascii="Times New Roman" w:hAnsi="Times New Roman"/>
          <w:bCs/>
        </w:rPr>
        <w:t xml:space="preserve"> et</w:t>
      </w:r>
    </w:p>
    <w:p w:rsidR="00A94FA5" w:rsidRPr="00AB71A2" w:rsidRDefault="00A94FA5" w:rsidP="00554442">
      <w:pPr>
        <w:pStyle w:val="ListParagraph"/>
        <w:numPr>
          <w:ilvl w:val="0"/>
          <w:numId w:val="41"/>
        </w:numPr>
        <w:spacing w:before="120" w:line="360" w:lineRule="auto"/>
        <w:ind w:left="714" w:hanging="357"/>
        <w:contextualSpacing w:val="0"/>
        <w:rPr>
          <w:rFonts w:ascii="Times New Roman" w:eastAsia="Malgun Gothic" w:hAnsi="Times New Roman" w:cs="Times New Roman"/>
          <w:bCs/>
        </w:rPr>
      </w:pPr>
      <w:r>
        <w:rPr>
          <w:rFonts w:ascii="Times New Roman" w:hAnsi="Times New Roman"/>
          <w:bCs/>
        </w:rPr>
        <w:t>recenser dans les pays les mentors du programme SHIP/DDM, et accorder des plages de temps libre aux fonctionnaires des services de santé suivant la formation pour leur permettre de réaliser les projets et exercices requis.</w:t>
      </w:r>
    </w:p>
    <w:p w:rsidR="00740C24" w:rsidRPr="006C35DB" w:rsidRDefault="00A94FA5" w:rsidP="00740C24">
      <w:pPr>
        <w:rPr>
          <w:rFonts w:ascii="Times New Roman" w:hAnsi="Times New Roman" w:cs="Times New Roman"/>
          <w:b/>
        </w:rPr>
      </w:pPr>
      <w:r>
        <w:br w:type="page"/>
      </w:r>
      <w:r>
        <w:rPr>
          <w:rFonts w:ascii="Times New Roman" w:hAnsi="Times New Roman"/>
          <w:b/>
        </w:rPr>
        <w:lastRenderedPageBreak/>
        <w:t>Annexe 1. Relevé du Système océanien de surveillance syndromique, 2014–2018 (données transmises par 20</w:t>
      </w:r>
      <w:r w:rsidR="005C10DA">
        <w:rPr>
          <w:rFonts w:ascii="Times New Roman" w:hAnsi="Times New Roman"/>
          <w:b/>
        </w:rPr>
        <w:t> </w:t>
      </w:r>
      <w:r>
        <w:rPr>
          <w:rFonts w:ascii="Times New Roman" w:hAnsi="Times New Roman"/>
          <w:b/>
        </w:rPr>
        <w:t>États et Territoires insulaires océaniens)</w:t>
      </w:r>
    </w:p>
    <w:p w:rsidR="00520092" w:rsidRDefault="00740C24" w:rsidP="006A6198">
      <w:pPr>
        <w:spacing w:after="0"/>
        <w:rPr>
          <w:rFonts w:ascii="Times New Roman" w:hAnsi="Times New Roman"/>
        </w:rPr>
      </w:pPr>
      <w:r>
        <w:rPr>
          <w:rFonts w:ascii="Times New Roman" w:hAnsi="Times New Roman"/>
          <w:noProof/>
          <w:lang w:val="en-US" w:eastAsia="en-US"/>
        </w:rPr>
        <mc:AlternateContent>
          <mc:Choice Requires="wps">
            <w:drawing>
              <wp:anchor distT="0" distB="0" distL="114300" distR="114300" simplePos="0" relativeHeight="251664384" behindDoc="0" locked="0" layoutInCell="1" allowOverlap="1" wp14:anchorId="0D8831D4" wp14:editId="7D2F4D3C">
                <wp:simplePos x="0" y="0"/>
                <wp:positionH relativeFrom="column">
                  <wp:posOffset>4842344</wp:posOffset>
                </wp:positionH>
                <wp:positionV relativeFrom="paragraph">
                  <wp:posOffset>1421875</wp:posOffset>
                </wp:positionV>
                <wp:extent cx="914400" cy="222333"/>
                <wp:effectExtent l="0" t="0" r="13970" b="25400"/>
                <wp:wrapNone/>
                <wp:docPr id="15" name="Text Box 15"/>
                <wp:cNvGraphicFramePr/>
                <a:graphic xmlns:a="http://schemas.openxmlformats.org/drawingml/2006/main">
                  <a:graphicData uri="http://schemas.microsoft.com/office/word/2010/wordprocessingShape">
                    <wps:wsp>
                      <wps:cNvSpPr txBox="1"/>
                      <wps:spPr>
                        <a:xfrm>
                          <a:off x="0" y="0"/>
                          <a:ext cx="914400" cy="222333"/>
                        </a:xfrm>
                        <a:prstGeom prst="rect">
                          <a:avLst/>
                        </a:prstGeom>
                        <a:solidFill>
                          <a:schemeClr val="lt1"/>
                        </a:solidFill>
                        <a:ln w="12700">
                          <a:solidFill>
                            <a:schemeClr val="bg1">
                              <a:lumMod val="75000"/>
                            </a:schemeClr>
                          </a:solidFill>
                        </a:ln>
                        <a:effectLst/>
                      </wps:spPr>
                      <wps:style>
                        <a:lnRef idx="0">
                          <a:schemeClr val="accent1"/>
                        </a:lnRef>
                        <a:fillRef idx="0">
                          <a:schemeClr val="accent1"/>
                        </a:fillRef>
                        <a:effectRef idx="0">
                          <a:schemeClr val="accent1"/>
                        </a:effectRef>
                        <a:fontRef idx="minor">
                          <a:schemeClr val="dk1"/>
                        </a:fontRef>
                      </wps:style>
                      <wps:txbx>
                        <w:txbxContent>
                          <w:p w:rsidR="00740C24" w:rsidRPr="005D4FD6" w:rsidRDefault="00740C24" w:rsidP="00740C24">
                            <w:pPr>
                              <w:jc w:val="center"/>
                              <w:rPr>
                                <w:b/>
                                <w:sz w:val="16"/>
                              </w:rPr>
                            </w:pPr>
                            <w:r>
                              <w:rPr>
                                <w:b/>
                                <w:sz w:val="16"/>
                              </w:rPr>
                              <w:t>Dengue</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Text Box 15" o:spid="_x0000_s1027" type="#_x0000_t202" style="position:absolute;margin-left:381.3pt;margin-top:111.95pt;width:1in;height:17.5pt;z-index:25166438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" fillcolor="white [3201]" strokecolor="#bfbfbf [2412]" strokeweight="1pt">
                <v:textbox>
                  <w:txbxContent>
                    <w:p w:rsidR="00740C24" w:rsidRPr="005D4FD6" w:rsidRDefault="00740C24" w:rsidP="00740C24">
                      <w:pPr>
                        <w:jc w:val="center"/>
                        <w:rPr>
                          <w:b/>
                          <w:sz w:val="16"/>
                        </w:rPr>
                      </w:pPr>
                      <w:r>
                        <w:rPr>
                          <w:b/>
                          <w:sz w:val="16"/>
                        </w:rPr>
                        <w:t>Dengue</w:t>
                      </w:r>
                    </w:p>
                  </w:txbxContent>
                </v:textbox>
              </v:shape>
            </w:pict>
          </mc:Fallback>
        </mc:AlternateContent>
      </w:r>
      <w:r>
        <w:rPr>
          <w:rFonts w:ascii="Times New Roman" w:hAnsi="Times New Roman"/>
          <w:noProof/>
          <w:lang w:val="en-US" w:eastAsia="en-US"/>
        </w:rPr>
        <mc:AlternateContent>
          <mc:Choice Requires="wps">
            <w:drawing>
              <wp:anchor distT="0" distB="0" distL="114300" distR="114300" simplePos="0" relativeHeight="251659264" behindDoc="0" locked="0" layoutInCell="1" allowOverlap="1" wp14:anchorId="4F8620B2" wp14:editId="67A121A1">
                <wp:simplePos x="0" y="0"/>
                <wp:positionH relativeFrom="column">
                  <wp:posOffset>1677725</wp:posOffset>
                </wp:positionH>
                <wp:positionV relativeFrom="paragraph">
                  <wp:posOffset>1203435</wp:posOffset>
                </wp:positionV>
                <wp:extent cx="914400" cy="218440"/>
                <wp:effectExtent l="0" t="0" r="22860" b="10160"/>
                <wp:wrapNone/>
                <wp:docPr id="6" name="Text Box 6"/>
                <wp:cNvGraphicFramePr/>
                <a:graphic xmlns:a="http://schemas.openxmlformats.org/drawingml/2006/main">
                  <a:graphicData uri="http://schemas.microsoft.com/office/word/2010/wordprocessingShape">
                    <wps:wsp>
                      <wps:cNvSpPr txBox="1"/>
                      <wps:spPr>
                        <a:xfrm>
                          <a:off x="0" y="0"/>
                          <a:ext cx="914400" cy="218440"/>
                        </a:xfrm>
                        <a:prstGeom prst="rect">
                          <a:avLst/>
                        </a:prstGeom>
                        <a:solidFill>
                          <a:schemeClr val="lt1"/>
                        </a:solidFill>
                        <a:ln w="12700">
                          <a:solidFill>
                            <a:schemeClr val="bg1">
                              <a:lumMod val="75000"/>
                            </a:schemeClr>
                          </a:solidFill>
                        </a:ln>
                        <a:effectLst/>
                      </wps:spPr>
                      <wps:style>
                        <a:lnRef idx="0">
                          <a:schemeClr val="accent1"/>
                        </a:lnRef>
                        <a:fillRef idx="0">
                          <a:schemeClr val="accent1"/>
                        </a:fillRef>
                        <a:effectRef idx="0">
                          <a:schemeClr val="accent1"/>
                        </a:effectRef>
                        <a:fontRef idx="minor">
                          <a:schemeClr val="dk1"/>
                        </a:fontRef>
                      </wps:style>
                      <wps:txbx>
                        <w:txbxContent>
                          <w:p w:rsidR="00740C24" w:rsidRPr="00740C24" w:rsidRDefault="00740C24" w:rsidP="00740C24">
                            <w:pPr>
                              <w:jc w:val="center"/>
                              <w:rPr>
                                <w:b/>
                                <w:sz w:val="16"/>
                                <w:szCs w:val="20"/>
                              </w:rPr>
                            </w:pPr>
                            <w:proofErr w:type="spellStart"/>
                            <w:r>
                              <w:rPr>
                                <w:b/>
                                <w:sz w:val="16"/>
                                <w:szCs w:val="20"/>
                              </w:rPr>
                              <w:t>Chikungunya</w:t>
                            </w:r>
                            <w:proofErr w:type="spellEnd"/>
                            <w:r>
                              <w:rPr>
                                <w:b/>
                                <w:sz w:val="16"/>
                                <w:szCs w:val="20"/>
                              </w:rPr>
                              <w:t xml:space="preserve"> et </w:t>
                            </w:r>
                            <w:proofErr w:type="spellStart"/>
                            <w:r>
                              <w:rPr>
                                <w:b/>
                                <w:sz w:val="16"/>
                                <w:szCs w:val="20"/>
                              </w:rPr>
                              <w:t>Zika</w:t>
                            </w:r>
                            <w:proofErr w:type="spell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28" type="#_x0000_t202" style="position:absolute;margin-left:132.1pt;margin-top:94.75pt;width:1in;height:17.2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" fillcolor="white [3201]" strokecolor="#bfbfbf [2412]" strokeweight="1pt">
                <v:textbox>
                  <w:txbxContent>
                    <w:p w:rsidR="00740C24" w:rsidRPr="00740C24" w:rsidRDefault="00740C24" w:rsidP="00740C24">
                      <w:pPr>
                        <w:jc w:val="center"/>
                        <w:rPr>
                          <w:b/>
                          <w:sz w:val="16"/>
                          <w:szCs w:val="20"/>
                        </w:rPr>
                      </w:pPr>
                      <w:proofErr w:type="spellStart"/>
                      <w:r>
                        <w:rPr>
                          <w:b/>
                          <w:sz w:val="16"/>
                          <w:szCs w:val="20"/>
                        </w:rPr>
                        <w:t>Chikungunya</w:t>
                      </w:r>
                      <w:proofErr w:type="spellEnd"/>
                      <w:r>
                        <w:rPr>
                          <w:b/>
                          <w:sz w:val="16"/>
                          <w:szCs w:val="20"/>
                        </w:rPr>
                        <w:t xml:space="preserve"> et </w:t>
                      </w:r>
                      <w:proofErr w:type="spellStart"/>
                      <w:r>
                        <w:rPr>
                          <w:b/>
                          <w:sz w:val="16"/>
                          <w:szCs w:val="20"/>
                        </w:rPr>
                        <w:t>Zika</w:t>
                      </w:r>
                      <w:proofErr w:type="spellEnd"/>
                    </w:p>
                  </w:txbxContent>
                </v:textbox>
              </v:shape>
            </w:pict>
          </mc:Fallback>
        </mc:AlternateContent>
      </w:r>
      <w:r>
        <w:rPr>
          <w:rFonts w:ascii="Times New Roman" w:hAnsi="Times New Roman"/>
          <w:noProof/>
          <w:lang w:val="en-US" w:eastAsia="en-US"/>
        </w:rPr>
        <mc:AlternateContent>
          <mc:Choice Requires="wps">
            <w:drawing>
              <wp:anchor distT="0" distB="0" distL="114300" distR="114300" simplePos="0" relativeHeight="251665408" behindDoc="0" locked="0" layoutInCell="1" allowOverlap="1" wp14:anchorId="2B941CF1" wp14:editId="6C272243">
                <wp:simplePos x="0" y="0"/>
                <wp:positionH relativeFrom="column">
                  <wp:posOffset>4841563</wp:posOffset>
                </wp:positionH>
                <wp:positionV relativeFrom="paragraph">
                  <wp:posOffset>1643009</wp:posOffset>
                </wp:positionV>
                <wp:extent cx="73998" cy="385845"/>
                <wp:effectExtent l="0" t="0" r="21590" b="14605"/>
                <wp:wrapNone/>
                <wp:docPr id="16" name="Straight Connector 16"/>
                <wp:cNvGraphicFramePr/>
                <a:graphic xmlns:a="http://schemas.openxmlformats.org/drawingml/2006/main">
                  <a:graphicData uri="http://schemas.microsoft.com/office/word/2010/wordprocessingShape">
                    <wps:wsp>
                      <wps:cNvCnPr/>
                      <wps:spPr>
                        <a:xfrm flipH="1">
                          <a:off x="0" y="0"/>
                          <a:ext cx="73998" cy="38584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0CB0A24" id="Straight Connector 16" o:spid="_x0000_s1026" style="position:absolute;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1.25pt,129.35pt" to="387.1pt,15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" strokecolor="#4a7ebb"/>
            </w:pict>
          </mc:Fallback>
        </mc:AlternateContent>
      </w:r>
      <w:r>
        <w:rPr>
          <w:rFonts w:ascii="Times New Roman" w:hAnsi="Times New Roman"/>
          <w:noProof/>
          <w:lang w:val="en-US" w:eastAsia="en-US"/>
        </w:rPr>
        <mc:AlternateContent>
          <mc:Choice Requires="wps">
            <w:drawing>
              <wp:anchor distT="0" distB="0" distL="114300" distR="114300" simplePos="0" relativeHeight="251662336" behindDoc="0" locked="0" layoutInCell="1" allowOverlap="1" wp14:anchorId="345A66F1" wp14:editId="0B2BF61C">
                <wp:simplePos x="0" y="0"/>
                <wp:positionH relativeFrom="column">
                  <wp:posOffset>2045335</wp:posOffset>
                </wp:positionH>
                <wp:positionV relativeFrom="paragraph">
                  <wp:posOffset>1431290</wp:posOffset>
                </wp:positionV>
                <wp:extent cx="0" cy="390525"/>
                <wp:effectExtent l="0" t="0" r="19050" b="9525"/>
                <wp:wrapNone/>
                <wp:docPr id="9" name="Straight Connector 9"/>
                <wp:cNvGraphicFramePr/>
                <a:graphic xmlns:a="http://schemas.openxmlformats.org/drawingml/2006/main">
                  <a:graphicData uri="http://schemas.microsoft.com/office/word/2010/wordprocessingShape">
                    <wps:wsp>
                      <wps:cNvCnPr/>
                      <wps:spPr>
                        <a:xfrm>
                          <a:off x="0" y="0"/>
                          <a:ext cx="0" cy="39052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079F2B42" id="Straight Connector 9"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1.05pt,112.7pt" to="161.05pt,14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" strokecolor="#4a7ebb"/>
            </w:pict>
          </mc:Fallback>
        </mc:AlternateContent>
      </w:r>
      <w:r>
        <w:rPr>
          <w:rFonts w:ascii="Times New Roman" w:hAnsi="Times New Roman"/>
          <w:noProof/>
          <w:lang w:val="en-US" w:eastAsia="en-US"/>
        </w:rPr>
        <mc:AlternateContent>
          <mc:Choice Requires="wps">
            <w:drawing>
              <wp:anchor distT="0" distB="0" distL="114300" distR="114300" simplePos="0" relativeHeight="251663360" behindDoc="0" locked="0" layoutInCell="1" allowOverlap="1" wp14:anchorId="308D3962" wp14:editId="34DF3AB2">
                <wp:simplePos x="0" y="0"/>
                <wp:positionH relativeFrom="column">
                  <wp:posOffset>2632203</wp:posOffset>
                </wp:positionH>
                <wp:positionV relativeFrom="paragraph">
                  <wp:posOffset>1436873</wp:posOffset>
                </wp:positionV>
                <wp:extent cx="41910" cy="476044"/>
                <wp:effectExtent l="0" t="0" r="34290" b="19685"/>
                <wp:wrapNone/>
                <wp:docPr id="13" name="Straight Connector 13"/>
                <wp:cNvGraphicFramePr/>
                <a:graphic xmlns:a="http://schemas.openxmlformats.org/drawingml/2006/main">
                  <a:graphicData uri="http://schemas.microsoft.com/office/word/2010/wordprocessingShape">
                    <wps:wsp>
                      <wps:cNvCnPr/>
                      <wps:spPr>
                        <a:xfrm>
                          <a:off x="0" y="0"/>
                          <a:ext cx="41910" cy="476044"/>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BF2E70D" id="Straight Connector 1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7.25pt,113.15pt" to="210.55pt,15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" strokecolor="#4a7ebb"/>
            </w:pict>
          </mc:Fallback>
        </mc:AlternateContent>
      </w:r>
      <w:r>
        <w:rPr>
          <w:rFonts w:ascii="Times New Roman" w:hAnsi="Times New Roman"/>
          <w:noProof/>
          <w:lang w:val="en-US" w:eastAsia="en-US"/>
        </w:rPr>
        <mc:AlternateContent>
          <mc:Choice Requires="wps">
            <w:drawing>
              <wp:anchor distT="0" distB="0" distL="114300" distR="114300" simplePos="0" relativeHeight="251661312" behindDoc="0" locked="0" layoutInCell="1" allowOverlap="1" wp14:anchorId="72DB8D30" wp14:editId="6BC45210">
                <wp:simplePos x="0" y="0"/>
                <wp:positionH relativeFrom="column">
                  <wp:posOffset>1569808</wp:posOffset>
                </wp:positionH>
                <wp:positionV relativeFrom="paragraph">
                  <wp:posOffset>1426302</wp:posOffset>
                </wp:positionV>
                <wp:extent cx="263489" cy="332989"/>
                <wp:effectExtent l="0" t="0" r="22860" b="29210"/>
                <wp:wrapNone/>
                <wp:docPr id="8" name="Straight Connector 8"/>
                <wp:cNvGraphicFramePr/>
                <a:graphic xmlns:a="http://schemas.openxmlformats.org/drawingml/2006/main">
                  <a:graphicData uri="http://schemas.microsoft.com/office/word/2010/wordprocessingShape">
                    <wps:wsp>
                      <wps:cNvCnPr/>
                      <wps:spPr>
                        <a:xfrm flipH="1">
                          <a:off x="0" y="0"/>
                          <a:ext cx="263489" cy="332989"/>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80F9719" id="Straight Connector 8"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3.6pt,112.3pt" to="144.3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" strokecolor="#4a7ebb"/>
            </w:pict>
          </mc:Fallback>
        </mc:AlternateContent>
      </w:r>
      <w:r>
        <w:rPr>
          <w:rFonts w:ascii="Times New Roman" w:hAnsi="Times New Roman"/>
          <w:noProof/>
          <w:lang w:val="en-US" w:eastAsia="en-US"/>
        </w:rPr>
        <mc:AlternateContent>
          <mc:Choice Requires="wps">
            <w:drawing>
              <wp:anchor distT="0" distB="0" distL="114300" distR="114300" simplePos="0" relativeHeight="251660288" behindDoc="0" locked="0" layoutInCell="1" allowOverlap="1" wp14:anchorId="658D11BE" wp14:editId="6FEE8F72">
                <wp:simplePos x="0" y="0"/>
                <wp:positionH relativeFrom="column">
                  <wp:posOffset>1305531</wp:posOffset>
                </wp:positionH>
                <wp:positionV relativeFrom="paragraph">
                  <wp:posOffset>1273021</wp:posOffset>
                </wp:positionV>
                <wp:extent cx="375274" cy="158074"/>
                <wp:effectExtent l="0" t="0" r="25400" b="33020"/>
                <wp:wrapNone/>
                <wp:docPr id="7" name="Straight Connector 7"/>
                <wp:cNvGraphicFramePr/>
                <a:graphic xmlns:a="http://schemas.openxmlformats.org/drawingml/2006/main">
                  <a:graphicData uri="http://schemas.microsoft.com/office/word/2010/wordprocessingShape">
                    <wps:wsp>
                      <wps:cNvCnPr/>
                      <wps:spPr>
                        <a:xfrm flipH="1">
                          <a:off x="0" y="0"/>
                          <a:ext cx="375274" cy="15807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457D7C01" id="Straight Connector 7" o:spid="_x0000_s1026" style="position:absolute;flip:x;z-index:251660288;visibility:visible;mso-wrap-style:square;mso-wrap-distance-left:9pt;mso-wrap-distance-top:0;mso-wrap-distance-right:9pt;mso-wrap-distance-bottom:0;mso-position-horizontal:absolute;mso-position-horizontal-relative:text;mso-position-vertical:absolute;mso-position-vertical-relative:text" from="102.8pt,100.25pt" to="132.35pt,1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" strokecolor="#4579b8 [3044]"/>
            </w:pict>
          </mc:Fallback>
        </mc:AlternateContent>
      </w:r>
      <w:r>
        <w:rPr>
          <w:rFonts w:ascii="Times New Roman" w:hAnsi="Times New Roman"/>
          <w:noProof/>
          <w:lang w:val="en-US" w:eastAsia="en-US"/>
        </w:rPr>
        <w:drawing>
          <wp:inline distT="0" distB="0" distL="0" distR="0" wp14:anchorId="2E01F80F" wp14:editId="1C9623CE">
            <wp:extent cx="5731510" cy="2539028"/>
            <wp:effectExtent l="19050" t="19050" r="21590" b="139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1510" cy="2539028"/>
                    </a:xfrm>
                    <a:prstGeom prst="rect">
                      <a:avLst/>
                    </a:prstGeom>
                    <a:solidFill>
                      <a:schemeClr val="lt1"/>
                    </a:solidFill>
                    <a:ln w="9525">
                      <a:solidFill>
                        <a:schemeClr val="bg1">
                          <a:lumMod val="75000"/>
                        </a:schemeClr>
                      </a:solidFill>
                    </a:ln>
                    <a:effectLst/>
                  </pic:spPr>
                </pic:pic>
              </a:graphicData>
            </a:graphic>
          </wp:inline>
        </w:drawing>
      </w:r>
      <w:r>
        <w:rPr>
          <w:rFonts w:ascii="Times New Roman" w:hAnsi="Times New Roman"/>
        </w:rPr>
        <w:t xml:space="preserve"> </w:t>
      </w:r>
    </w:p>
    <w:p w:rsidR="00520092" w:rsidRPr="002B2044" w:rsidRDefault="00C9113E" w:rsidP="002B2044">
      <w:pPr>
        <w:spacing w:after="0"/>
        <w:rPr>
          <w:rFonts w:ascii="Times New Roman" w:hAnsi="Times New Roman"/>
          <w:b/>
          <w:bCs/>
        </w:rPr>
      </w:pPr>
      <w:r w:rsidRPr="00C9113E">
        <w:rPr>
          <w:rFonts w:ascii="Times New Roman" w:hAnsi="Times New Roman"/>
          <w:b/>
          <w:bCs/>
          <w:highlight w:val="yellow"/>
        </w:rPr>
        <w:t xml:space="preserve">Acute </w:t>
      </w:r>
      <w:proofErr w:type="spellStart"/>
      <w:r w:rsidRPr="00C9113E">
        <w:rPr>
          <w:rFonts w:ascii="Times New Roman" w:hAnsi="Times New Roman"/>
          <w:b/>
          <w:bCs/>
          <w:highlight w:val="yellow"/>
        </w:rPr>
        <w:t>fever</w:t>
      </w:r>
      <w:proofErr w:type="spellEnd"/>
      <w:r w:rsidRPr="00C9113E">
        <w:rPr>
          <w:rFonts w:ascii="Times New Roman" w:hAnsi="Times New Roman"/>
          <w:b/>
          <w:bCs/>
          <w:highlight w:val="yellow"/>
        </w:rPr>
        <w:t xml:space="preserve"> and rash, 2014-2018 (n=21,848)=</w:t>
      </w:r>
      <w:r>
        <w:rPr>
          <w:rFonts w:ascii="Times New Roman" w:hAnsi="Times New Roman"/>
          <w:b/>
          <w:bCs/>
        </w:rPr>
        <w:t xml:space="preserve"> </w:t>
      </w:r>
      <w:r w:rsidR="006A6198" w:rsidRPr="002B2044">
        <w:rPr>
          <w:rFonts w:ascii="Times New Roman" w:hAnsi="Times New Roman"/>
          <w:b/>
          <w:bCs/>
        </w:rPr>
        <w:t>Fièvre éruptive, 2014–2018 (21</w:t>
      </w:r>
      <w:r w:rsidR="0038441E">
        <w:rPr>
          <w:rFonts w:ascii="Times New Roman" w:hAnsi="Times New Roman"/>
          <w:b/>
          <w:bCs/>
        </w:rPr>
        <w:t> </w:t>
      </w:r>
      <w:r w:rsidR="006A6198" w:rsidRPr="002B2044">
        <w:rPr>
          <w:rFonts w:ascii="Times New Roman" w:hAnsi="Times New Roman"/>
          <w:b/>
          <w:bCs/>
        </w:rPr>
        <w:t>848</w:t>
      </w:r>
      <w:r w:rsidR="0038441E">
        <w:rPr>
          <w:rFonts w:ascii="Times New Roman" w:hAnsi="Times New Roman"/>
          <w:b/>
          <w:bCs/>
        </w:rPr>
        <w:t> cas</w:t>
      </w:r>
      <w:r w:rsidR="006A6198" w:rsidRPr="002B2044">
        <w:rPr>
          <w:rFonts w:ascii="Times New Roman" w:hAnsi="Times New Roman"/>
          <w:b/>
          <w:bCs/>
        </w:rPr>
        <w:t>)</w:t>
      </w:r>
    </w:p>
    <w:p w:rsidR="00E61506" w:rsidRDefault="00E61506" w:rsidP="00286D01">
      <w:pPr>
        <w:spacing w:after="0"/>
        <w:rPr>
          <w:rFonts w:ascii="Times New Roman" w:hAnsi="Times New Roman"/>
        </w:rPr>
      </w:pPr>
      <w:r w:rsidRPr="00C9113E">
        <w:rPr>
          <w:rFonts w:ascii="Times New Roman" w:hAnsi="Times New Roman"/>
          <w:i/>
          <w:iCs/>
          <w:highlight w:val="yellow"/>
        </w:rPr>
        <w:t xml:space="preserve">2014 </w:t>
      </w:r>
      <w:proofErr w:type="spellStart"/>
      <w:r w:rsidRPr="00C9113E">
        <w:rPr>
          <w:rFonts w:ascii="Times New Roman" w:hAnsi="Times New Roman"/>
          <w:i/>
          <w:iCs/>
          <w:highlight w:val="yellow"/>
        </w:rPr>
        <w:t>Measles</w:t>
      </w:r>
      <w:proofErr w:type="spellEnd"/>
      <w:r w:rsidRPr="00C9113E">
        <w:rPr>
          <w:rFonts w:ascii="Times New Roman" w:hAnsi="Times New Roman"/>
          <w:i/>
          <w:iCs/>
          <w:highlight w:val="yellow"/>
        </w:rPr>
        <w:t xml:space="preserve"> </w:t>
      </w:r>
      <w:proofErr w:type="spellStart"/>
      <w:r w:rsidRPr="00C9113E">
        <w:rPr>
          <w:rFonts w:ascii="Times New Roman" w:hAnsi="Times New Roman"/>
          <w:i/>
          <w:iCs/>
          <w:highlight w:val="yellow"/>
        </w:rPr>
        <w:t>outbreak</w:t>
      </w:r>
      <w:proofErr w:type="spellEnd"/>
      <w:r w:rsidRPr="00C9113E">
        <w:rPr>
          <w:rFonts w:ascii="Times New Roman" w:hAnsi="Times New Roman"/>
          <w:highlight w:val="yellow"/>
        </w:rPr>
        <w:t xml:space="preserve"> =</w:t>
      </w:r>
      <w:r>
        <w:rPr>
          <w:rFonts w:ascii="Times New Roman" w:hAnsi="Times New Roman"/>
        </w:rPr>
        <w:t xml:space="preserve"> </w:t>
      </w:r>
      <w:r w:rsidR="002B2044">
        <w:rPr>
          <w:rFonts w:ascii="Times New Roman" w:hAnsi="Times New Roman"/>
        </w:rPr>
        <w:t>Épidémie de rougeole en 2014</w:t>
      </w:r>
    </w:p>
    <w:p w:rsidR="00C9113E" w:rsidRDefault="00C9113E" w:rsidP="00286D01">
      <w:pPr>
        <w:spacing w:after="0"/>
        <w:rPr>
          <w:rFonts w:ascii="Times New Roman" w:hAnsi="Times New Roman"/>
        </w:rPr>
      </w:pPr>
    </w:p>
    <w:p w:rsidR="00740C24" w:rsidRDefault="00650681" w:rsidP="00E61506">
      <w:pPr>
        <w:spacing w:after="0"/>
        <w:rPr>
          <w:rFonts w:ascii="Times New Roman" w:hAnsi="Times New Roman" w:cs="Times New Roman"/>
        </w:rPr>
      </w:pPr>
      <w:r>
        <w:rPr>
          <w:rFonts w:ascii="Times New Roman" w:hAnsi="Times New Roman"/>
          <w:noProof/>
          <w:lang w:val="en-US" w:eastAsia="en-US"/>
        </w:rPr>
        <mc:AlternateContent>
          <mc:Choice Requires="wpg">
            <w:drawing>
              <wp:anchor distT="0" distB="0" distL="114300" distR="114300" simplePos="0" relativeHeight="251672576" behindDoc="0" locked="0" layoutInCell="1" allowOverlap="1" wp14:anchorId="7A0AB6E6" wp14:editId="5F6C86F9">
                <wp:simplePos x="0" y="0"/>
                <wp:positionH relativeFrom="column">
                  <wp:posOffset>1075104</wp:posOffset>
                </wp:positionH>
                <wp:positionV relativeFrom="paragraph">
                  <wp:posOffset>456536</wp:posOffset>
                </wp:positionV>
                <wp:extent cx="2648585" cy="737235"/>
                <wp:effectExtent l="0" t="0" r="18415" b="24765"/>
                <wp:wrapNone/>
                <wp:docPr id="44" name="Group 44"/>
                <wp:cNvGraphicFramePr/>
                <a:graphic xmlns:a="http://schemas.openxmlformats.org/drawingml/2006/main">
                  <a:graphicData uri="http://schemas.microsoft.com/office/word/2010/wordprocessingGroup">
                    <wpg:wgp>
                      <wpg:cNvGrpSpPr/>
                      <wpg:grpSpPr>
                        <a:xfrm>
                          <a:off x="0" y="0"/>
                          <a:ext cx="2648585" cy="737235"/>
                          <a:chOff x="0" y="0"/>
                          <a:chExt cx="2648704" cy="737337"/>
                        </a:xfrm>
                      </wpg:grpSpPr>
                      <wps:wsp>
                        <wps:cNvPr id="14" name="Text Box 14"/>
                        <wps:cNvSpPr txBox="1"/>
                        <wps:spPr>
                          <a:xfrm>
                            <a:off x="0" y="55652"/>
                            <a:ext cx="597535" cy="208280"/>
                          </a:xfrm>
                          <a:prstGeom prst="rect">
                            <a:avLst/>
                          </a:prstGeom>
                          <a:solidFill>
                            <a:schemeClr val="lt1"/>
                          </a:solidFill>
                          <a:ln w="12700">
                            <a:solidFill>
                              <a:schemeClr val="bg1">
                                <a:lumMod val="75000"/>
                              </a:schemeClr>
                            </a:solidFill>
                          </a:ln>
                          <a:effectLst/>
                        </wps:spPr>
                        <wps:style>
                          <a:lnRef idx="0">
                            <a:schemeClr val="accent1"/>
                          </a:lnRef>
                          <a:fillRef idx="0">
                            <a:schemeClr val="accent1"/>
                          </a:fillRef>
                          <a:effectRef idx="0">
                            <a:schemeClr val="accent1"/>
                          </a:effectRef>
                          <a:fontRef idx="minor">
                            <a:schemeClr val="dk1"/>
                          </a:fontRef>
                        </wps:style>
                        <wps:txbx>
                          <w:txbxContent>
                            <w:p w:rsidR="00740C24" w:rsidRPr="005D4FD6" w:rsidRDefault="00740C24" w:rsidP="00740C24">
                              <w:pPr>
                                <w:rPr>
                                  <w:b/>
                                  <w:sz w:val="16"/>
                                </w:rPr>
                              </w:pPr>
                              <w:proofErr w:type="spellStart"/>
                              <w:r>
                                <w:rPr>
                                  <w:b/>
                                  <w:sz w:val="16"/>
                                </w:rPr>
                                <w:t>Rotavirus</w:t>
                              </w:r>
                              <w:proofErr w:type="spellEnd"/>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wps:wsp>
                        <wps:cNvPr id="17" name="Straight Connector 17"/>
                        <wps:cNvCnPr/>
                        <wps:spPr>
                          <a:xfrm flipH="1">
                            <a:off x="95416" y="262393"/>
                            <a:ext cx="205740" cy="474944"/>
                          </a:xfrm>
                          <a:prstGeom prst="line">
                            <a:avLst/>
                          </a:prstGeom>
                          <a:noFill/>
                          <a:ln w="9525" cap="flat" cmpd="sng" algn="ctr">
                            <a:solidFill>
                              <a:srgbClr val="4F81BD">
                                <a:shade val="95000"/>
                                <a:satMod val="105000"/>
                              </a:srgbClr>
                            </a:solidFill>
                            <a:prstDash val="solid"/>
                          </a:ln>
                          <a:effectLst/>
                        </wps:spPr>
                        <wps:bodyPr/>
                      </wps:wsp>
                      <wps:wsp>
                        <wps:cNvPr id="19" name="Straight Connector 19"/>
                        <wps:cNvCnPr/>
                        <wps:spPr>
                          <a:xfrm flipH="1">
                            <a:off x="2138901" y="206734"/>
                            <a:ext cx="205740" cy="474345"/>
                          </a:xfrm>
                          <a:prstGeom prst="line">
                            <a:avLst/>
                          </a:prstGeom>
                          <a:noFill/>
                          <a:ln w="9525" cap="flat" cmpd="sng" algn="ctr">
                            <a:solidFill>
                              <a:srgbClr val="4F81BD">
                                <a:shade val="95000"/>
                                <a:satMod val="105000"/>
                              </a:srgbClr>
                            </a:solidFill>
                            <a:prstDash val="solid"/>
                          </a:ln>
                          <a:effectLst/>
                        </wps:spPr>
                        <wps:bodyPr/>
                      </wps:wsp>
                      <wps:wsp>
                        <wps:cNvPr id="38" name="Text Box 38"/>
                        <wps:cNvSpPr txBox="1"/>
                        <wps:spPr>
                          <a:xfrm>
                            <a:off x="2051169" y="0"/>
                            <a:ext cx="597535" cy="208280"/>
                          </a:xfrm>
                          <a:prstGeom prst="rect">
                            <a:avLst/>
                          </a:prstGeom>
                          <a:solidFill>
                            <a:schemeClr val="lt1"/>
                          </a:solidFill>
                          <a:ln w="12700">
                            <a:solidFill>
                              <a:schemeClr val="bg1">
                                <a:lumMod val="75000"/>
                              </a:schemeClr>
                            </a:solidFill>
                          </a:ln>
                          <a:effectLst/>
                        </wps:spPr>
                        <wps:style>
                          <a:lnRef idx="0">
                            <a:schemeClr val="accent1"/>
                          </a:lnRef>
                          <a:fillRef idx="0">
                            <a:schemeClr val="accent1"/>
                          </a:fillRef>
                          <a:effectRef idx="0">
                            <a:schemeClr val="accent1"/>
                          </a:effectRef>
                          <a:fontRef idx="minor">
                            <a:schemeClr val="dk1"/>
                          </a:fontRef>
                        </wps:style>
                        <wps:txbx>
                          <w:txbxContent>
                            <w:p w:rsidR="00740C24" w:rsidRPr="005D4FD6" w:rsidRDefault="00740C24" w:rsidP="00740C24">
                              <w:pPr>
                                <w:rPr>
                                  <w:b/>
                                  <w:sz w:val="16"/>
                                </w:rPr>
                              </w:pPr>
                              <w:proofErr w:type="spellStart"/>
                              <w:r>
                                <w:rPr>
                                  <w:b/>
                                  <w:sz w:val="16"/>
                                </w:rPr>
                                <w:t>Rotavirus</w:t>
                              </w:r>
                              <w:proofErr w:type="spellEnd"/>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44" o:spid="_x0000_s1029" style="position:absolute;margin-left:84.65pt;margin-top:35.95pt;width:208.55pt;height:58.05pt;z-index:251672576" coordsize="26487,73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">
                <v:shape id="Text Box 14" o:spid="_x0000_s1030" type="#_x0000_t202" style="position:absolute;top:556;width:5975;height:2083;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SSnsAA&#10;AADbAAAADwAAAGRycy9kb3ducmV2LnhtbERPS2rDMBDdB3oHMYFuQiI3tCa4lkNJ09BtnBxgsKa2&#10;iTUSlvxpTx8VCt3N430n38+mEyP1vrWs4GmTgCCurG65VnC9fKx3IHxA1thZJgXf5GFfPCxyzLSd&#10;+ExjGWoRQ9hnqKAJwWVS+qohg35jHXHkvmxvMETY11L3OMVw08ltkqTSYMuxoUFHh4aqWzkYBf79&#10;ZzL1cZCnl4PTq6vz7TmtlHpczm+vIALN4V/85/7Ucf4z/P4SD5DF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1SSnsAAAADbAAAADwAAAAAAAAAAAAAAAACYAgAAZHJzL2Rvd25y&#10;ZXYueG1sUEsFBgAAAAAEAAQA9QAAAIUDAAAAAA==&#10;" fillcolor="white [3201]" strokecolor="#bfbfbf [2412]" strokeweight="1pt">
                  <v:textbox>
                    <w:txbxContent>
                      <w:p w:rsidR="00740C24" w:rsidRPr="005D4FD6" w:rsidRDefault="00740C24" w:rsidP="00740C24">
                        <w:pPr>
                          <w:rPr>
                            <w:b/>
                            <w:sz w:val="16"/>
                          </w:rPr>
                        </w:pPr>
                        <w:proofErr w:type="spellStart"/>
                        <w:r>
                          <w:rPr>
                            <w:b/>
                            <w:sz w:val="16"/>
                          </w:rPr>
                          <w:t>Rotavirus</w:t>
                        </w:r>
                        <w:proofErr w:type="spellEnd"/>
                      </w:p>
                    </w:txbxContent>
                  </v:textbox>
                </v:shape>
                <v:line id="Straight Connector 17" o:spid="_x0000_s1031" style="position:absolute;flip:x;visibility:visible;mso-wrap-style:square" from="954,2623" to="3011,73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y9HMEAAADbAAAADwAAAGRycy9kb3ducmV2LnhtbERPS4vCMBC+L/gfwgje1lTBXammRURB&#10;YS+668Hb0Ewf2ExqE7X6640g7G0+vufM087U4kqtqywrGA0jEMSZ1RUXCv5+159TEM4ja6wtk4I7&#10;OUiT3sccY21vvKPr3hcihLCLUUHpfRNL6bKSDLqhbYgDl9vWoA+wLaRu8RbCTS3HUfQlDVYcGkps&#10;aFlSdtpfjILV0dfdGe/jx0++XeUHu7SLSaXUoN8tZiA8df5f/HZvdJj/Da9fwgEye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s3L0cwQAAANsAAAAPAAAAAAAAAAAAAAAA&#10;AKECAABkcnMvZG93bnJldi54bWxQSwUGAAAAAAQABAD5AAAAjwMAAAAA&#10;" strokecolor="#4a7ebb"/>
                <v:line id="Straight Connector 19" o:spid="_x0000_s1032" style="position:absolute;flip:x;visibility:visible;mso-wrap-style:square" from="21389,2067" to="23446,6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M9cEAAADbAAAADwAAAGRycy9kb3ducmV2LnhtbERPS4vCMBC+L/gfwgje1lTBZa2mRURB&#10;YS+668Hb0Ewf2ExqE7X6640g7G0+vufM087U4kqtqywrGA0jEMSZ1RUXCv5+15/fIJxH1lhbJgV3&#10;cpAmvY85xtreeEfXvS9ECGEXo4LS+yaW0mUlGXRD2xAHLretQR9gW0jd4i2Em1qOo+hLGqw4NJTY&#10;0LKk7LS/GAWro6+7M97Hj598u8oPdmkXk0qpQb9bzEB46vy/+O3e6DB/Cq9fwgEye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yD4z1wQAAANsAAAAPAAAAAAAAAAAAAAAA&#10;AKECAABkcnMvZG93bnJldi54bWxQSwUGAAAAAAQABAD5AAAAjwMAAAAA&#10;" strokecolor="#4a7ebb"/>
                <v:shape id="Text Box 38" o:spid="_x0000_s1033" type="#_x0000_t202" style="position:absolute;left:20511;width:5976;height:208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zE+78A&#10;AADbAAAADwAAAGRycy9kb3ducmV2LnhtbERPy4rCMBTdC/5DuIIb0VSHkaGaFvExzNaOH3Bprm2x&#10;uQlNtNWvN4uBWR7Oe5sPphUP6nxjWcFykYAgLq1uuFJw+T3Nv0D4gKyxtUwKnuQhz8ajLaba9nym&#10;RxEqEUPYp6igDsGlUvqyJoN+YR1x5K62Mxgi7CqpO+xjuGnlKknW0mDDsaFGR/uayltxNwr84dWb&#10;6niX3597p2cX55vzulRqOhl2GxCBhvAv/nP/aAUfcWz8En+AzN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hrMT7vwAAANsAAAAPAAAAAAAAAAAAAAAAAJgCAABkcnMvZG93bnJl&#10;di54bWxQSwUGAAAAAAQABAD1AAAAhAMAAAAA&#10;" fillcolor="white [3201]" strokecolor="#bfbfbf [2412]" strokeweight="1pt">
                  <v:textbox>
                    <w:txbxContent>
                      <w:p w:rsidR="00740C24" w:rsidRPr="005D4FD6" w:rsidRDefault="00740C24" w:rsidP="00740C24">
                        <w:pPr>
                          <w:rPr>
                            <w:b/>
                            <w:sz w:val="16"/>
                          </w:rPr>
                        </w:pPr>
                        <w:proofErr w:type="spellStart"/>
                        <w:r>
                          <w:rPr>
                            <w:b/>
                            <w:sz w:val="16"/>
                          </w:rPr>
                          <w:t>Rotavirus</w:t>
                        </w:r>
                        <w:proofErr w:type="spellEnd"/>
                      </w:p>
                    </w:txbxContent>
                  </v:textbox>
                </v:shape>
              </v:group>
            </w:pict>
          </mc:Fallback>
        </mc:AlternateContent>
      </w:r>
      <w:r w:rsidR="00740C24">
        <w:rPr>
          <w:noProof/>
          <w:lang w:val="en-US" w:eastAsia="en-US"/>
        </w:rPr>
        <w:drawing>
          <wp:inline distT="0" distB="0" distL="0" distR="0" wp14:anchorId="46E84CD5" wp14:editId="58D86DA8">
            <wp:extent cx="5740842" cy="2543724"/>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37817" cy="2542384"/>
                    </a:xfrm>
                    <a:prstGeom prst="rect">
                      <a:avLst/>
                    </a:prstGeom>
                    <a:noFill/>
                  </pic:spPr>
                </pic:pic>
              </a:graphicData>
            </a:graphic>
          </wp:inline>
        </w:drawing>
      </w:r>
    </w:p>
    <w:p w:rsidR="000749DB" w:rsidRPr="0005219D" w:rsidRDefault="00C9113E" w:rsidP="002D0C5D">
      <w:pPr>
        <w:spacing w:after="0"/>
        <w:rPr>
          <w:rFonts w:ascii="Times New Roman" w:hAnsi="Times New Roman" w:cs="Times New Roman"/>
          <w:b/>
          <w:bCs/>
        </w:rPr>
      </w:pPr>
      <w:proofErr w:type="spellStart"/>
      <w:r w:rsidRPr="00C9113E">
        <w:rPr>
          <w:rFonts w:ascii="Times New Roman" w:hAnsi="Times New Roman" w:cs="Times New Roman"/>
          <w:b/>
          <w:bCs/>
          <w:highlight w:val="yellow"/>
        </w:rPr>
        <w:t>Diarrhoeal</w:t>
      </w:r>
      <w:proofErr w:type="spellEnd"/>
      <w:r w:rsidRPr="00C9113E">
        <w:rPr>
          <w:rFonts w:ascii="Times New Roman" w:hAnsi="Times New Roman" w:cs="Times New Roman"/>
          <w:b/>
          <w:bCs/>
          <w:highlight w:val="yellow"/>
        </w:rPr>
        <w:t xml:space="preserve"> syndrome, 2014-2018 (n=215,594)=</w:t>
      </w:r>
      <w:r>
        <w:rPr>
          <w:rFonts w:ascii="Times New Roman" w:hAnsi="Times New Roman" w:cs="Times New Roman"/>
          <w:b/>
          <w:bCs/>
        </w:rPr>
        <w:t xml:space="preserve"> </w:t>
      </w:r>
      <w:r w:rsidR="000749DB" w:rsidRPr="0005219D">
        <w:rPr>
          <w:rFonts w:ascii="Times New Roman" w:hAnsi="Times New Roman" w:cs="Times New Roman"/>
          <w:b/>
          <w:bCs/>
        </w:rPr>
        <w:t>Diarrhée, 2014–2018 (</w:t>
      </w:r>
      <w:r w:rsidR="00E61506" w:rsidRPr="0005219D">
        <w:rPr>
          <w:rFonts w:ascii="Times New Roman" w:hAnsi="Times New Roman" w:cs="Times New Roman"/>
          <w:b/>
          <w:bCs/>
        </w:rPr>
        <w:t>215</w:t>
      </w:r>
      <w:r w:rsidR="0038441E">
        <w:rPr>
          <w:rFonts w:ascii="Times New Roman" w:hAnsi="Times New Roman" w:cs="Times New Roman"/>
          <w:b/>
          <w:bCs/>
        </w:rPr>
        <w:t> </w:t>
      </w:r>
      <w:r w:rsidR="00E61506" w:rsidRPr="0005219D">
        <w:rPr>
          <w:rFonts w:ascii="Times New Roman" w:hAnsi="Times New Roman" w:cs="Times New Roman"/>
          <w:b/>
          <w:bCs/>
        </w:rPr>
        <w:t>594</w:t>
      </w:r>
      <w:r w:rsidR="0038441E">
        <w:rPr>
          <w:rFonts w:ascii="Times New Roman" w:hAnsi="Times New Roman" w:cs="Times New Roman"/>
          <w:b/>
          <w:bCs/>
        </w:rPr>
        <w:t> cas</w:t>
      </w:r>
      <w:r w:rsidR="00E61506" w:rsidRPr="0005219D">
        <w:rPr>
          <w:rFonts w:ascii="Times New Roman" w:hAnsi="Times New Roman" w:cs="Times New Roman"/>
          <w:b/>
          <w:bCs/>
        </w:rPr>
        <w:t>)</w:t>
      </w:r>
    </w:p>
    <w:p w:rsidR="00137810" w:rsidRDefault="00137810" w:rsidP="002D0C5D">
      <w:pPr>
        <w:spacing w:after="0"/>
        <w:rPr>
          <w:rFonts w:ascii="Times New Roman" w:hAnsi="Times New Roman" w:cs="Times New Roman"/>
        </w:rPr>
      </w:pPr>
      <w:r w:rsidRPr="00C9113E">
        <w:rPr>
          <w:rFonts w:ascii="Times New Roman" w:hAnsi="Times New Roman" w:cs="Times New Roman"/>
          <w:i/>
          <w:iCs/>
          <w:highlight w:val="yellow"/>
        </w:rPr>
        <w:t>No report week</w:t>
      </w:r>
      <w:r w:rsidRPr="00C9113E">
        <w:rPr>
          <w:rFonts w:ascii="Times New Roman" w:hAnsi="Times New Roman" w:cs="Times New Roman"/>
          <w:highlight w:val="yellow"/>
        </w:rPr>
        <w:t xml:space="preserve"> =</w:t>
      </w:r>
      <w:r>
        <w:rPr>
          <w:rFonts w:ascii="Times New Roman" w:hAnsi="Times New Roman" w:cs="Times New Roman"/>
        </w:rPr>
        <w:t xml:space="preserve"> </w:t>
      </w:r>
      <w:r w:rsidR="002D0C5D">
        <w:rPr>
          <w:rFonts w:ascii="Times New Roman" w:hAnsi="Times New Roman" w:cs="Times New Roman"/>
        </w:rPr>
        <w:t>Aucun rapport hebdomadaire</w:t>
      </w:r>
    </w:p>
    <w:p w:rsidR="00C9113E" w:rsidRPr="006C35DB" w:rsidRDefault="00C9113E" w:rsidP="002D0C5D">
      <w:pPr>
        <w:spacing w:after="0"/>
        <w:rPr>
          <w:rFonts w:ascii="Times New Roman" w:hAnsi="Times New Roman" w:cs="Times New Roman"/>
        </w:rPr>
      </w:pPr>
    </w:p>
    <w:p w:rsidR="00740C24" w:rsidRDefault="00740C24" w:rsidP="00740C24">
      <w:pPr>
        <w:rPr>
          <w:rFonts w:ascii="Times New Roman" w:hAnsi="Times New Roman" w:cs="Times New Roman"/>
        </w:rPr>
      </w:pPr>
      <w:r>
        <w:rPr>
          <w:rFonts w:ascii="Times New Roman" w:hAnsi="Times New Roman"/>
          <w:noProof/>
          <w:lang w:val="en-US" w:eastAsia="en-US"/>
        </w:rPr>
        <w:lastRenderedPageBreak/>
        <mc:AlternateContent>
          <mc:Choice Requires="wpg">
            <w:drawing>
              <wp:anchor distT="0" distB="0" distL="114300" distR="114300" simplePos="0" relativeHeight="251666432" behindDoc="0" locked="0" layoutInCell="1" allowOverlap="1" wp14:anchorId="01F39D8D" wp14:editId="79EFE3B0">
                <wp:simplePos x="0" y="0"/>
                <wp:positionH relativeFrom="column">
                  <wp:posOffset>3251835</wp:posOffset>
                </wp:positionH>
                <wp:positionV relativeFrom="paragraph">
                  <wp:posOffset>485471</wp:posOffset>
                </wp:positionV>
                <wp:extent cx="2348249" cy="785495"/>
                <wp:effectExtent l="0" t="0" r="13970" b="33655"/>
                <wp:wrapNone/>
                <wp:docPr id="43" name="Group 43"/>
                <wp:cNvGraphicFramePr/>
                <a:graphic xmlns:a="http://schemas.openxmlformats.org/drawingml/2006/main">
                  <a:graphicData uri="http://schemas.microsoft.com/office/word/2010/wordprocessingGroup">
                    <wpg:wgp>
                      <wpg:cNvGrpSpPr/>
                      <wpg:grpSpPr>
                        <a:xfrm>
                          <a:off x="0" y="0"/>
                          <a:ext cx="2348249" cy="785495"/>
                          <a:chOff x="0" y="0"/>
                          <a:chExt cx="2348286" cy="786075"/>
                        </a:xfrm>
                      </wpg:grpSpPr>
                      <wps:wsp>
                        <wps:cNvPr id="24" name="Straight Connector 24"/>
                        <wps:cNvCnPr/>
                        <wps:spPr>
                          <a:xfrm flipH="1">
                            <a:off x="1661823" y="516835"/>
                            <a:ext cx="79282" cy="269240"/>
                          </a:xfrm>
                          <a:prstGeom prst="line">
                            <a:avLst/>
                          </a:prstGeom>
                          <a:noFill/>
                          <a:ln w="9525" cap="flat" cmpd="sng" algn="ctr">
                            <a:solidFill>
                              <a:srgbClr val="4F81BD">
                                <a:shade val="95000"/>
                                <a:satMod val="105000"/>
                              </a:srgbClr>
                            </a:solidFill>
                            <a:prstDash val="solid"/>
                          </a:ln>
                          <a:effectLst/>
                        </wps:spPr>
                        <wps:bodyPr/>
                      </wps:wsp>
                      <wps:wsp>
                        <wps:cNvPr id="20" name="Text Box 20"/>
                        <wps:cNvSpPr txBox="1"/>
                        <wps:spPr>
                          <a:xfrm>
                            <a:off x="31806" y="0"/>
                            <a:ext cx="1203344" cy="253552"/>
                          </a:xfrm>
                          <a:prstGeom prst="rect">
                            <a:avLst/>
                          </a:prstGeom>
                          <a:solidFill>
                            <a:schemeClr val="lt1"/>
                          </a:solidFill>
                          <a:ln w="12700">
                            <a:solidFill>
                              <a:schemeClr val="bg1">
                                <a:lumMod val="75000"/>
                              </a:schemeClr>
                            </a:solidFill>
                          </a:ln>
                          <a:effectLst/>
                        </wps:spPr>
                        <wps:style>
                          <a:lnRef idx="0">
                            <a:schemeClr val="accent1"/>
                          </a:lnRef>
                          <a:fillRef idx="0">
                            <a:schemeClr val="accent1"/>
                          </a:fillRef>
                          <a:effectRef idx="0">
                            <a:schemeClr val="accent1"/>
                          </a:effectRef>
                          <a:fontRef idx="minor">
                            <a:schemeClr val="dk1"/>
                          </a:fontRef>
                        </wps:style>
                        <wps:txbx>
                          <w:txbxContent>
                            <w:p w:rsidR="00740C24" w:rsidRPr="005D4FD6" w:rsidRDefault="00740C24" w:rsidP="00740C24">
                              <w:pPr>
                                <w:rPr>
                                  <w:b/>
                                  <w:sz w:val="16"/>
                                </w:rPr>
                              </w:pPr>
                              <w:r>
                                <w:rPr>
                                  <w:b/>
                                  <w:sz w:val="16"/>
                                </w:rPr>
                                <w:t>Cas confirmés de grippe</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wps:wsp>
                        <wps:cNvPr id="21" name="Straight Connector 21"/>
                        <wps:cNvCnPr/>
                        <wps:spPr>
                          <a:xfrm flipH="1">
                            <a:off x="0" y="270344"/>
                            <a:ext cx="269563" cy="437346"/>
                          </a:xfrm>
                          <a:prstGeom prst="line">
                            <a:avLst/>
                          </a:prstGeom>
                          <a:noFill/>
                          <a:ln w="9525" cap="flat" cmpd="sng" algn="ctr">
                            <a:solidFill>
                              <a:srgbClr val="4F81BD">
                                <a:shade val="95000"/>
                                <a:satMod val="105000"/>
                              </a:srgbClr>
                            </a:solidFill>
                            <a:prstDash val="solid"/>
                          </a:ln>
                          <a:effectLst/>
                        </wps:spPr>
                        <wps:bodyPr/>
                      </wps:wsp>
                      <wps:wsp>
                        <wps:cNvPr id="22" name="Text Box 22"/>
                        <wps:cNvSpPr txBox="1"/>
                        <wps:spPr>
                          <a:xfrm>
                            <a:off x="1144942" y="325763"/>
                            <a:ext cx="1203344" cy="241478"/>
                          </a:xfrm>
                          <a:prstGeom prst="rect">
                            <a:avLst/>
                          </a:prstGeom>
                          <a:solidFill>
                            <a:schemeClr val="lt1"/>
                          </a:solidFill>
                          <a:ln w="12700">
                            <a:solidFill>
                              <a:schemeClr val="bg1">
                                <a:lumMod val="75000"/>
                              </a:schemeClr>
                            </a:solidFill>
                          </a:ln>
                          <a:effectLst/>
                        </wps:spPr>
                        <wps:style>
                          <a:lnRef idx="0">
                            <a:schemeClr val="accent1"/>
                          </a:lnRef>
                          <a:fillRef idx="0">
                            <a:schemeClr val="accent1"/>
                          </a:fillRef>
                          <a:effectRef idx="0">
                            <a:schemeClr val="accent1"/>
                          </a:effectRef>
                          <a:fontRef idx="minor">
                            <a:schemeClr val="dk1"/>
                          </a:fontRef>
                        </wps:style>
                        <wps:txbx>
                          <w:txbxContent>
                            <w:p w:rsidR="00740C24" w:rsidRPr="005D4FD6" w:rsidRDefault="00740C24" w:rsidP="00740C24">
                              <w:pPr>
                                <w:rPr>
                                  <w:b/>
                                  <w:sz w:val="16"/>
                                </w:rPr>
                              </w:pPr>
                              <w:r>
                                <w:rPr>
                                  <w:b/>
                                  <w:sz w:val="16"/>
                                </w:rPr>
                                <w:t>Cas confirmés de grippe</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43" o:spid="_x0000_s1034" style="position:absolute;margin-left:256.05pt;margin-top:38.25pt;width:184.9pt;height:61.85pt;z-index:251666432" coordsize="23482,7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">
                <v:line id="Straight Connector 24" o:spid="_x0000_s1035" style="position:absolute;flip:x;visibility:visible;mso-wrap-style:square" from="16618,5168" to="17411,7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Lp1sUAAADbAAAADwAAAGRycy9kb3ducmV2LnhtbESPQWvCQBSE7wX/w/KE3szGUKWk2YiI&#10;hQpeqvbQ2yP7kixm36bZrUZ/fbdQ6HGYmW+YYjXaTlxo8MaxgnmSgiCunDbcKDgdX2fPIHxA1tg5&#10;JgU38rAqJw8F5tpd+Z0uh9CICGGfo4I2hD6X0lctWfSJ64mjV7vBYohyaKQe8BrhtpNZmi6lRcNx&#10;ocWeNi1V58O3VbD9DN34hbfsvq932/rDbdx6YZR6nI7rFxCBxvAf/mu/aQXZE/x+iT9Alj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mLp1sUAAADbAAAADwAAAAAAAAAA&#10;AAAAAAChAgAAZHJzL2Rvd25yZXYueG1sUEsFBgAAAAAEAAQA+QAAAJMDAAAAAA==&#10;" strokecolor="#4a7ebb"/>
                <v:shape id="Text Box 20" o:spid="_x0000_s1036" type="#_x0000_t202" style="position:absolute;left:318;width:12033;height:2535;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NeILsA&#10;AADbAAAADwAAAGRycy9kb3ducmV2LnhtbERPSwrCMBDdC94hjOBGNFVQpBpF/OHWzwGGZmyLzSQ0&#10;0VZPbxaCy8f7L9etqcSLal9aVjAeJSCIM6tLzhXcrofhHIQPyBory6TgTR7Wq25niam2DZ/pdQm5&#10;iCHsU1RQhOBSKX1WkEE/so44cndbGwwR1rnUNTYx3FRykiQzabDk2FCgo21B2ePyNAr87tOYfP+U&#10;x+nW6cHN+fI8y5Tq99rNAkSgNvzFP/dJK5jE9fFL/AFy9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NoDXiC7AAAA2wAAAA8AAAAAAAAAAAAAAAAAmAIAAGRycy9kb3ducmV2Lnht&#10;bFBLBQYAAAAABAAEAPUAAACAAwAAAAA=&#10;" fillcolor="white [3201]" strokecolor="#bfbfbf [2412]" strokeweight="1pt">
                  <v:textbox>
                    <w:txbxContent>
                      <w:p w:rsidR="00740C24" w:rsidRPr="005D4FD6" w:rsidRDefault="00740C24" w:rsidP="00740C24">
                        <w:pPr>
                          <w:rPr>
                            <w:b/>
                            <w:sz w:val="16"/>
                          </w:rPr>
                        </w:pPr>
                        <w:r>
                          <w:rPr>
                            <w:b/>
                            <w:sz w:val="16"/>
                          </w:rPr>
                          <w:t>Cas confirmés de grippe</w:t>
                        </w:r>
                      </w:p>
                    </w:txbxContent>
                  </v:textbox>
                </v:shape>
                <v:line id="Straight Connector 21" o:spid="_x0000_s1037" style="position:absolute;flip:x;visibility:visible;mso-wrap-style:square" from="0,2703" to="2695,70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VKTsIAAADbAAAADwAAAGRycy9kb3ducmV2LnhtbESPzarCMBSE9xd8h3AEd9fUgnKpRhFR&#10;UHCjVxfuDs3pDzYntYlafXojCC6HmfmGmcxaU4kbNa60rGDQj0AQp1aXnCs4/K9+/0A4j6yxskwK&#10;HuRgNu38TDDR9s47uu19LgKEXYIKCu/rREqXFmTQ9W1NHLzMNgZ9kE0udYP3ADeVjKNoJA2WHBYK&#10;rGlRUHreX42C5clX7QUf8XObbZbZ0S7sfFgq1eu28zEIT63/hj/ttVYQD+D9JfwAOX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hVKTsIAAADbAAAADwAAAAAAAAAAAAAA&#10;AAChAgAAZHJzL2Rvd25yZXYueG1sUEsFBgAAAAAEAAQA+QAAAJADAAAAAA==&#10;" strokecolor="#4a7ebb"/>
                <v:shape id="Text Box 22" o:spid="_x0000_s1038" type="#_x0000_t202" style="position:absolute;left:11449;top:3257;width:12033;height:2415;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lzMIA&#10;AADbAAAADwAAAGRycy9kb3ducmV2LnhtbESPwWrDMBBE74X+g9hCLyWWa6gJbmRT3LT06iQfsFhb&#10;29RaCUuJnXx9VAjkOMzMG2ZTLWYUJ5r8YFnBa5KCIG6tHrhTcNh/rdYgfEDWOFomBWfyUJWPDxss&#10;tJ25odMudCJC2BeooA/BFVL6tieDPrGOOHq/djIYopw6qSecI9yMMkvTXBocOC706Kjuqf3bHY0C&#10;/3mZTbc9yu+32umXg/NDk7dKPT8tH+8gAi3hHr61f7SCLIP/L/EHyP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nWXMwgAAANsAAAAPAAAAAAAAAAAAAAAAAJgCAABkcnMvZG93&#10;bnJldi54bWxQSwUGAAAAAAQABAD1AAAAhwMAAAAA&#10;" fillcolor="white [3201]" strokecolor="#bfbfbf [2412]" strokeweight="1pt">
                  <v:textbox>
                    <w:txbxContent>
                      <w:p w:rsidR="00740C24" w:rsidRPr="005D4FD6" w:rsidRDefault="00740C24" w:rsidP="00740C24">
                        <w:pPr>
                          <w:rPr>
                            <w:b/>
                            <w:sz w:val="16"/>
                          </w:rPr>
                        </w:pPr>
                        <w:r>
                          <w:rPr>
                            <w:b/>
                            <w:sz w:val="16"/>
                          </w:rPr>
                          <w:t>Cas confirmés de grippe</w:t>
                        </w:r>
                      </w:p>
                    </w:txbxContent>
                  </v:textbox>
                </v:shape>
              </v:group>
            </w:pict>
          </mc:Fallback>
        </mc:AlternateContent>
      </w:r>
      <w:r>
        <w:rPr>
          <w:rFonts w:ascii="Times New Roman" w:hAnsi="Times New Roman"/>
          <w:noProof/>
          <w:lang w:val="en-US" w:eastAsia="en-US"/>
        </w:rPr>
        <w:drawing>
          <wp:inline distT="0" distB="0" distL="0" distR="0" wp14:anchorId="02FEE35C" wp14:editId="0764F3C0">
            <wp:extent cx="5731510" cy="2539236"/>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31510" cy="2539236"/>
                    </a:xfrm>
                    <a:prstGeom prst="rect">
                      <a:avLst/>
                    </a:prstGeom>
                    <a:noFill/>
                  </pic:spPr>
                </pic:pic>
              </a:graphicData>
            </a:graphic>
          </wp:inline>
        </w:drawing>
      </w:r>
    </w:p>
    <w:p w:rsidR="00F34204" w:rsidRPr="0005219D" w:rsidRDefault="00F34204" w:rsidP="0005219D">
      <w:pPr>
        <w:spacing w:after="0"/>
        <w:rPr>
          <w:rFonts w:ascii="Times New Roman" w:hAnsi="Times New Roman" w:cs="Times New Roman"/>
          <w:b/>
          <w:bCs/>
        </w:rPr>
      </w:pPr>
      <w:r w:rsidRPr="0005219D">
        <w:rPr>
          <w:rFonts w:ascii="Times New Roman" w:hAnsi="Times New Roman" w:cs="Times New Roman"/>
          <w:b/>
          <w:bCs/>
        </w:rPr>
        <w:t>Syndrome grippal</w:t>
      </w:r>
      <w:r w:rsidR="0005219D" w:rsidRPr="0005219D">
        <w:rPr>
          <w:rFonts w:ascii="Times New Roman" w:hAnsi="Times New Roman" w:cs="Times New Roman"/>
          <w:b/>
          <w:bCs/>
        </w:rPr>
        <w:t>, 2014–2018 (512</w:t>
      </w:r>
      <w:r w:rsidR="0038441E">
        <w:rPr>
          <w:rFonts w:ascii="Times New Roman" w:hAnsi="Times New Roman" w:cs="Times New Roman"/>
          <w:b/>
          <w:bCs/>
        </w:rPr>
        <w:t> </w:t>
      </w:r>
      <w:r w:rsidR="0005219D" w:rsidRPr="0005219D">
        <w:rPr>
          <w:rFonts w:ascii="Times New Roman" w:hAnsi="Times New Roman" w:cs="Times New Roman"/>
          <w:b/>
          <w:bCs/>
        </w:rPr>
        <w:t>715</w:t>
      </w:r>
      <w:r w:rsidR="0038441E">
        <w:rPr>
          <w:rFonts w:ascii="Times New Roman" w:hAnsi="Times New Roman" w:cs="Times New Roman"/>
          <w:b/>
          <w:bCs/>
        </w:rPr>
        <w:t> cas</w:t>
      </w:r>
      <w:r w:rsidR="0005219D" w:rsidRPr="0005219D">
        <w:rPr>
          <w:rFonts w:ascii="Times New Roman" w:hAnsi="Times New Roman" w:cs="Times New Roman"/>
          <w:b/>
          <w:bCs/>
        </w:rPr>
        <w:t>)</w:t>
      </w:r>
    </w:p>
    <w:p w:rsidR="00740C24" w:rsidRPr="006C35DB" w:rsidRDefault="0005219D" w:rsidP="0005219D">
      <w:pPr>
        <w:spacing w:after="0"/>
        <w:rPr>
          <w:rFonts w:ascii="Times New Roman" w:hAnsi="Times New Roman" w:cs="Times New Roman"/>
        </w:rPr>
      </w:pPr>
      <w:r w:rsidRPr="00C9113E">
        <w:rPr>
          <w:rFonts w:ascii="Times New Roman" w:hAnsi="Times New Roman" w:cs="Times New Roman"/>
          <w:i/>
          <w:iCs/>
          <w:highlight w:val="yellow"/>
        </w:rPr>
        <w:t>No report week</w:t>
      </w:r>
      <w:r w:rsidRPr="00C9113E">
        <w:rPr>
          <w:rFonts w:ascii="Times New Roman" w:hAnsi="Times New Roman" w:cs="Times New Roman"/>
          <w:highlight w:val="yellow"/>
        </w:rPr>
        <w:t xml:space="preserve"> =</w:t>
      </w:r>
      <w:r>
        <w:rPr>
          <w:rFonts w:ascii="Times New Roman" w:hAnsi="Times New Roman" w:cs="Times New Roman"/>
        </w:rPr>
        <w:t xml:space="preserve"> Aucun rapport hebdomadaire</w:t>
      </w:r>
    </w:p>
    <w:p w:rsidR="00740C24" w:rsidRPr="006C35DB" w:rsidRDefault="00740C24" w:rsidP="00E0518C">
      <w:pPr>
        <w:spacing w:after="0"/>
        <w:rPr>
          <w:rFonts w:ascii="Times New Roman" w:hAnsi="Times New Roman" w:cs="Times New Roman"/>
        </w:rPr>
      </w:pPr>
      <w:r>
        <w:rPr>
          <w:rFonts w:ascii="Times New Roman" w:hAnsi="Times New Roman"/>
          <w:noProof/>
          <w:lang w:val="en-US" w:eastAsia="en-US"/>
        </w:rPr>
        <mc:AlternateContent>
          <mc:Choice Requires="wps">
            <w:drawing>
              <wp:anchor distT="0" distB="0" distL="114300" distR="114300" simplePos="0" relativeHeight="251676672" behindDoc="0" locked="0" layoutInCell="1" allowOverlap="1" wp14:anchorId="46E7D07D" wp14:editId="46361DAC">
                <wp:simplePos x="0" y="0"/>
                <wp:positionH relativeFrom="column">
                  <wp:posOffset>4893945</wp:posOffset>
                </wp:positionH>
                <wp:positionV relativeFrom="paragraph">
                  <wp:posOffset>823595</wp:posOffset>
                </wp:positionV>
                <wp:extent cx="914400" cy="214630"/>
                <wp:effectExtent l="0" t="0" r="23495" b="13970"/>
                <wp:wrapNone/>
                <wp:docPr id="42" name="Text Box 42"/>
                <wp:cNvGraphicFramePr/>
                <a:graphic xmlns:a="http://schemas.openxmlformats.org/drawingml/2006/main">
                  <a:graphicData uri="http://schemas.microsoft.com/office/word/2010/wordprocessingShape">
                    <wps:wsp>
                      <wps:cNvSpPr txBox="1"/>
                      <wps:spPr>
                        <a:xfrm>
                          <a:off x="0" y="0"/>
                          <a:ext cx="914400" cy="214630"/>
                        </a:xfrm>
                        <a:prstGeom prst="rect">
                          <a:avLst/>
                        </a:prstGeom>
                        <a:solidFill>
                          <a:schemeClr val="lt1"/>
                        </a:solidFill>
                        <a:ln w="12700">
                          <a:solidFill>
                            <a:schemeClr val="bg1">
                              <a:lumMod val="75000"/>
                            </a:schemeClr>
                          </a:solidFill>
                        </a:ln>
                        <a:effectLst/>
                      </wps:spPr>
                      <wps:style>
                        <a:lnRef idx="0">
                          <a:schemeClr val="accent1"/>
                        </a:lnRef>
                        <a:fillRef idx="0">
                          <a:schemeClr val="accent1"/>
                        </a:fillRef>
                        <a:effectRef idx="0">
                          <a:schemeClr val="accent1"/>
                        </a:effectRef>
                        <a:fontRef idx="minor">
                          <a:schemeClr val="dk1"/>
                        </a:fontRef>
                      </wps:style>
                      <wps:txbx>
                        <w:txbxContent>
                          <w:p w:rsidR="00740C24" w:rsidRPr="0067710F" w:rsidRDefault="00740C24" w:rsidP="00740C24">
                            <w:pPr>
                              <w:rPr>
                                <w:b/>
                                <w:sz w:val="16"/>
                              </w:rPr>
                            </w:pPr>
                            <w:r>
                              <w:rPr>
                                <w:b/>
                                <w:sz w:val="16"/>
                              </w:rPr>
                              <w:t>Leptospirose</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Text Box 42" o:spid="_x0000_s1039" type="#_x0000_t202" style="position:absolute;margin-left:385.35pt;margin-top:64.85pt;width:1in;height:16.9pt;z-index:25167667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" fillcolor="white [3201]" strokecolor="#bfbfbf [2412]" strokeweight="1pt">
                <v:textbox>
                  <w:txbxContent>
                    <w:p w:rsidR="00740C24" w:rsidRPr="0067710F" w:rsidRDefault="00740C24" w:rsidP="00740C24">
                      <w:pPr>
                        <w:rPr>
                          <w:b/>
                          <w:sz w:val="16"/>
                        </w:rPr>
                      </w:pPr>
                      <w:r>
                        <w:rPr>
                          <w:b/>
                          <w:sz w:val="16"/>
                        </w:rPr>
                        <w:t>Leptospirose</w:t>
                      </w:r>
                    </w:p>
                  </w:txbxContent>
                </v:textbox>
              </v:shape>
            </w:pict>
          </mc:Fallback>
        </mc:AlternateContent>
      </w:r>
      <w:r>
        <w:rPr>
          <w:rFonts w:ascii="Times New Roman" w:hAnsi="Times New Roman"/>
          <w:noProof/>
          <w:lang w:val="en-US" w:eastAsia="en-US"/>
        </w:rPr>
        <mc:AlternateContent>
          <mc:Choice Requires="wps">
            <w:drawing>
              <wp:anchor distT="0" distB="0" distL="114300" distR="114300" simplePos="0" relativeHeight="251675648" behindDoc="0" locked="0" layoutInCell="1" allowOverlap="1" wp14:anchorId="251D2AF9" wp14:editId="6B0663FA">
                <wp:simplePos x="0" y="0"/>
                <wp:positionH relativeFrom="column">
                  <wp:posOffset>3733469</wp:posOffset>
                </wp:positionH>
                <wp:positionV relativeFrom="paragraph">
                  <wp:posOffset>520700</wp:posOffset>
                </wp:positionV>
                <wp:extent cx="914400" cy="214630"/>
                <wp:effectExtent l="0" t="0" r="23495" b="13970"/>
                <wp:wrapNone/>
                <wp:docPr id="41" name="Text Box 41"/>
                <wp:cNvGraphicFramePr/>
                <a:graphic xmlns:a="http://schemas.openxmlformats.org/drawingml/2006/main">
                  <a:graphicData uri="http://schemas.microsoft.com/office/word/2010/wordprocessingShape">
                    <wps:wsp>
                      <wps:cNvSpPr txBox="1"/>
                      <wps:spPr>
                        <a:xfrm>
                          <a:off x="0" y="0"/>
                          <a:ext cx="914400" cy="214630"/>
                        </a:xfrm>
                        <a:prstGeom prst="rect">
                          <a:avLst/>
                        </a:prstGeom>
                        <a:solidFill>
                          <a:schemeClr val="lt1"/>
                        </a:solidFill>
                        <a:ln w="12700">
                          <a:solidFill>
                            <a:schemeClr val="bg1">
                              <a:lumMod val="75000"/>
                            </a:schemeClr>
                          </a:solidFill>
                        </a:ln>
                        <a:effectLst/>
                      </wps:spPr>
                      <wps:style>
                        <a:lnRef idx="0">
                          <a:schemeClr val="accent1"/>
                        </a:lnRef>
                        <a:fillRef idx="0">
                          <a:schemeClr val="accent1"/>
                        </a:fillRef>
                        <a:effectRef idx="0">
                          <a:schemeClr val="accent1"/>
                        </a:effectRef>
                        <a:fontRef idx="minor">
                          <a:schemeClr val="dk1"/>
                        </a:fontRef>
                      </wps:style>
                      <wps:txbx>
                        <w:txbxContent>
                          <w:p w:rsidR="00740C24" w:rsidRPr="0067710F" w:rsidRDefault="00740C24" w:rsidP="00740C24">
                            <w:pPr>
                              <w:rPr>
                                <w:b/>
                                <w:sz w:val="16"/>
                              </w:rPr>
                            </w:pPr>
                            <w:r>
                              <w:rPr>
                                <w:b/>
                                <w:sz w:val="16"/>
                              </w:rPr>
                              <w:t>Leptospirose</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Text Box 41" o:spid="_x0000_s1040" type="#_x0000_t202" style="position:absolute;margin-left:293.95pt;margin-top:41pt;width:1in;height:16.9pt;z-index:25167564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" fillcolor="white [3201]" strokecolor="#bfbfbf [2412]" strokeweight="1pt">
                <v:textbox>
                  <w:txbxContent>
                    <w:p w:rsidR="00740C24" w:rsidRPr="0067710F" w:rsidRDefault="00740C24" w:rsidP="00740C24">
                      <w:pPr>
                        <w:rPr>
                          <w:b/>
                          <w:sz w:val="16"/>
                        </w:rPr>
                      </w:pPr>
                      <w:r>
                        <w:rPr>
                          <w:b/>
                          <w:sz w:val="16"/>
                        </w:rPr>
                        <w:t>Leptospirose</w:t>
                      </w:r>
                    </w:p>
                  </w:txbxContent>
                </v:textbox>
              </v:shape>
            </w:pict>
          </mc:Fallback>
        </mc:AlternateContent>
      </w:r>
      <w:r>
        <w:rPr>
          <w:rFonts w:ascii="Times New Roman" w:hAnsi="Times New Roman"/>
          <w:noProof/>
          <w:lang w:val="en-US" w:eastAsia="en-US"/>
        </w:rPr>
        <mc:AlternateContent>
          <mc:Choice Requires="wps">
            <w:drawing>
              <wp:anchor distT="0" distB="0" distL="114300" distR="114300" simplePos="0" relativeHeight="251671552" behindDoc="0" locked="0" layoutInCell="1" allowOverlap="1" wp14:anchorId="6F365FA2" wp14:editId="13FFC6C3">
                <wp:simplePos x="0" y="0"/>
                <wp:positionH relativeFrom="column">
                  <wp:posOffset>4238625</wp:posOffset>
                </wp:positionH>
                <wp:positionV relativeFrom="paragraph">
                  <wp:posOffset>733425</wp:posOffset>
                </wp:positionV>
                <wp:extent cx="52705" cy="412115"/>
                <wp:effectExtent l="0" t="0" r="23495" b="26035"/>
                <wp:wrapNone/>
                <wp:docPr id="37" name="Straight Connector 37"/>
                <wp:cNvGraphicFramePr/>
                <a:graphic xmlns:a="http://schemas.openxmlformats.org/drawingml/2006/main">
                  <a:graphicData uri="http://schemas.microsoft.com/office/word/2010/wordprocessingShape">
                    <wps:wsp>
                      <wps:cNvCnPr/>
                      <wps:spPr>
                        <a:xfrm>
                          <a:off x="0" y="0"/>
                          <a:ext cx="52705" cy="41211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99987AE" id="Straight Connector 3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3.75pt,57.75pt" to="337.9pt,9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" strokecolor="#4a7ebb"/>
            </w:pict>
          </mc:Fallback>
        </mc:AlternateContent>
      </w:r>
      <w:r>
        <w:rPr>
          <w:rFonts w:ascii="Times New Roman" w:hAnsi="Times New Roman"/>
          <w:noProof/>
          <w:lang w:val="en-US" w:eastAsia="en-US"/>
        </w:rPr>
        <mc:AlternateContent>
          <mc:Choice Requires="wps">
            <w:drawing>
              <wp:anchor distT="0" distB="0" distL="114300" distR="114300" simplePos="0" relativeHeight="251670528" behindDoc="0" locked="0" layoutInCell="1" allowOverlap="1" wp14:anchorId="5678D286" wp14:editId="7431348B">
                <wp:simplePos x="0" y="0"/>
                <wp:positionH relativeFrom="column">
                  <wp:posOffset>3770630</wp:posOffset>
                </wp:positionH>
                <wp:positionV relativeFrom="paragraph">
                  <wp:posOffset>733425</wp:posOffset>
                </wp:positionV>
                <wp:extent cx="231140" cy="412115"/>
                <wp:effectExtent l="0" t="0" r="35560" b="26035"/>
                <wp:wrapNone/>
                <wp:docPr id="36" name="Straight Connector 36"/>
                <wp:cNvGraphicFramePr/>
                <a:graphic xmlns:a="http://schemas.openxmlformats.org/drawingml/2006/main">
                  <a:graphicData uri="http://schemas.microsoft.com/office/word/2010/wordprocessingShape">
                    <wps:wsp>
                      <wps:cNvCnPr/>
                      <wps:spPr>
                        <a:xfrm flipH="1">
                          <a:off x="0" y="0"/>
                          <a:ext cx="231140" cy="41211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AAC03E5" id="Straight Connector 36" o:spid="_x0000_s1026" style="position:absolute;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6.9pt,57.75pt" to="315.1pt,9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" strokecolor="#4a7ebb"/>
            </w:pict>
          </mc:Fallback>
        </mc:AlternateContent>
      </w:r>
      <w:r>
        <w:rPr>
          <w:rFonts w:ascii="Times New Roman" w:hAnsi="Times New Roman"/>
          <w:noProof/>
          <w:lang w:val="en-US" w:eastAsia="en-US"/>
        </w:rPr>
        <w:drawing>
          <wp:inline distT="0" distB="0" distL="0" distR="0" wp14:anchorId="1EB9BED8" wp14:editId="56DB322B">
            <wp:extent cx="5724462" cy="2536466"/>
            <wp:effectExtent l="19050" t="19050" r="10160" b="165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38115" cy="2542516"/>
                    </a:xfrm>
                    <a:prstGeom prst="rect">
                      <a:avLst/>
                    </a:prstGeom>
                    <a:solidFill>
                      <a:schemeClr val="lt1"/>
                    </a:solidFill>
                    <a:ln w="12700">
                      <a:solidFill>
                        <a:schemeClr val="bg1">
                          <a:lumMod val="75000"/>
                        </a:schemeClr>
                      </a:solidFill>
                    </a:ln>
                    <a:effectLst/>
                  </pic:spPr>
                </pic:pic>
              </a:graphicData>
            </a:graphic>
          </wp:inline>
        </w:drawing>
      </w:r>
    </w:p>
    <w:p w:rsidR="00740C24" w:rsidRPr="00E0518C" w:rsidRDefault="00C9113E" w:rsidP="00E0518C">
      <w:pPr>
        <w:spacing w:after="0"/>
        <w:rPr>
          <w:rFonts w:ascii="Times New Roman" w:hAnsi="Times New Roman" w:cs="Times New Roman"/>
          <w:b/>
          <w:bCs/>
        </w:rPr>
      </w:pPr>
      <w:proofErr w:type="spellStart"/>
      <w:r w:rsidRPr="00C9113E">
        <w:rPr>
          <w:rFonts w:ascii="Times New Roman" w:hAnsi="Times New Roman" w:cs="Times New Roman"/>
          <w:b/>
          <w:bCs/>
          <w:highlight w:val="yellow"/>
        </w:rPr>
        <w:t>Prolonged</w:t>
      </w:r>
      <w:proofErr w:type="spellEnd"/>
      <w:r w:rsidRPr="00C9113E">
        <w:rPr>
          <w:rFonts w:ascii="Times New Roman" w:hAnsi="Times New Roman" w:cs="Times New Roman"/>
          <w:b/>
          <w:bCs/>
          <w:highlight w:val="yellow"/>
        </w:rPr>
        <w:t xml:space="preserve"> </w:t>
      </w:r>
      <w:proofErr w:type="spellStart"/>
      <w:r w:rsidRPr="00C9113E">
        <w:rPr>
          <w:rFonts w:ascii="Times New Roman" w:hAnsi="Times New Roman" w:cs="Times New Roman"/>
          <w:b/>
          <w:bCs/>
          <w:highlight w:val="yellow"/>
        </w:rPr>
        <w:t>fever</w:t>
      </w:r>
      <w:proofErr w:type="spellEnd"/>
      <w:r w:rsidRPr="00C9113E">
        <w:rPr>
          <w:rFonts w:ascii="Times New Roman" w:hAnsi="Times New Roman" w:cs="Times New Roman"/>
          <w:b/>
          <w:bCs/>
          <w:highlight w:val="yellow"/>
        </w:rPr>
        <w:t>, 2014-2018 (n=47,526)=</w:t>
      </w:r>
      <w:r>
        <w:rPr>
          <w:rFonts w:ascii="Times New Roman" w:hAnsi="Times New Roman" w:cs="Times New Roman"/>
          <w:b/>
          <w:bCs/>
        </w:rPr>
        <w:t xml:space="preserve"> </w:t>
      </w:r>
      <w:r w:rsidR="004D5B05" w:rsidRPr="00E0518C">
        <w:rPr>
          <w:rFonts w:ascii="Times New Roman" w:hAnsi="Times New Roman" w:cs="Times New Roman"/>
          <w:b/>
          <w:bCs/>
        </w:rPr>
        <w:t>Fièvre prolongée, 2014–2018 (47</w:t>
      </w:r>
      <w:r w:rsidR="00E0518C">
        <w:rPr>
          <w:rFonts w:ascii="Times New Roman" w:hAnsi="Times New Roman" w:cs="Times New Roman"/>
          <w:b/>
          <w:bCs/>
        </w:rPr>
        <w:t> </w:t>
      </w:r>
      <w:r w:rsidR="004D5B05" w:rsidRPr="00E0518C">
        <w:rPr>
          <w:rFonts w:ascii="Times New Roman" w:hAnsi="Times New Roman" w:cs="Times New Roman"/>
          <w:b/>
          <w:bCs/>
        </w:rPr>
        <w:t>526</w:t>
      </w:r>
      <w:r w:rsidR="00E0518C">
        <w:rPr>
          <w:rFonts w:ascii="Times New Roman" w:hAnsi="Times New Roman" w:cs="Times New Roman"/>
          <w:b/>
          <w:bCs/>
        </w:rPr>
        <w:t> </w:t>
      </w:r>
      <w:r w:rsidR="004D5B05" w:rsidRPr="00E0518C">
        <w:rPr>
          <w:rFonts w:ascii="Times New Roman" w:hAnsi="Times New Roman" w:cs="Times New Roman"/>
          <w:b/>
          <w:bCs/>
        </w:rPr>
        <w:t>cas)</w:t>
      </w:r>
    </w:p>
    <w:p w:rsidR="004D5B05" w:rsidRDefault="004D5B05" w:rsidP="004D5B05">
      <w:pPr>
        <w:spacing w:after="0"/>
        <w:rPr>
          <w:rFonts w:ascii="Times New Roman" w:hAnsi="Times New Roman" w:cs="Times New Roman"/>
        </w:rPr>
      </w:pPr>
      <w:r w:rsidRPr="00C9113E">
        <w:rPr>
          <w:rFonts w:ascii="Times New Roman" w:hAnsi="Times New Roman" w:cs="Times New Roman"/>
          <w:i/>
          <w:iCs/>
          <w:highlight w:val="yellow"/>
        </w:rPr>
        <w:t>No report week</w:t>
      </w:r>
      <w:r w:rsidRPr="00C9113E">
        <w:rPr>
          <w:rFonts w:ascii="Times New Roman" w:hAnsi="Times New Roman" w:cs="Times New Roman"/>
          <w:highlight w:val="yellow"/>
        </w:rPr>
        <w:t xml:space="preserve"> =</w:t>
      </w:r>
      <w:r>
        <w:rPr>
          <w:rFonts w:ascii="Times New Roman" w:hAnsi="Times New Roman" w:cs="Times New Roman"/>
        </w:rPr>
        <w:t xml:space="preserve"> Aucun rapport hebdomadaire</w:t>
      </w:r>
    </w:p>
    <w:p w:rsidR="00C9113E" w:rsidRPr="006C35DB" w:rsidRDefault="00C9113E" w:rsidP="004D5B05">
      <w:pPr>
        <w:spacing w:after="0"/>
        <w:rPr>
          <w:rFonts w:ascii="Times New Roman" w:hAnsi="Times New Roman" w:cs="Times New Roman"/>
        </w:rPr>
      </w:pPr>
    </w:p>
    <w:p w:rsidR="00740C24" w:rsidRDefault="00740C24" w:rsidP="00CB5197">
      <w:pPr>
        <w:spacing w:after="0"/>
        <w:rPr>
          <w:rFonts w:ascii="Times New Roman" w:hAnsi="Times New Roman" w:cs="Times New Roman"/>
        </w:rPr>
      </w:pPr>
      <w:r>
        <w:rPr>
          <w:rFonts w:ascii="Times New Roman" w:hAnsi="Times New Roman"/>
          <w:noProof/>
          <w:lang w:val="en-US" w:eastAsia="en-US"/>
        </w:rPr>
        <mc:AlternateContent>
          <mc:Choice Requires="wps">
            <w:drawing>
              <wp:anchor distT="0" distB="0" distL="114300" distR="114300" simplePos="0" relativeHeight="251669504" behindDoc="0" locked="0" layoutInCell="1" allowOverlap="1" wp14:anchorId="32208353" wp14:editId="245AC99E">
                <wp:simplePos x="0" y="0"/>
                <wp:positionH relativeFrom="column">
                  <wp:posOffset>667911</wp:posOffset>
                </wp:positionH>
                <wp:positionV relativeFrom="paragraph">
                  <wp:posOffset>292183</wp:posOffset>
                </wp:positionV>
                <wp:extent cx="2122998" cy="253365"/>
                <wp:effectExtent l="0" t="0" r="10795" b="13335"/>
                <wp:wrapNone/>
                <wp:docPr id="32" name="Text Box 32"/>
                <wp:cNvGraphicFramePr/>
                <a:graphic xmlns:a="http://schemas.openxmlformats.org/drawingml/2006/main">
                  <a:graphicData uri="http://schemas.microsoft.com/office/word/2010/wordprocessingShape">
                    <wps:wsp>
                      <wps:cNvSpPr txBox="1"/>
                      <wps:spPr>
                        <a:xfrm>
                          <a:off x="0" y="0"/>
                          <a:ext cx="2122998" cy="253365"/>
                        </a:xfrm>
                        <a:prstGeom prst="rect">
                          <a:avLst/>
                        </a:prstGeom>
                        <a:solidFill>
                          <a:schemeClr val="lt1"/>
                        </a:solidFill>
                        <a:ln w="12700">
                          <a:solidFill>
                            <a:schemeClr val="bg1">
                              <a:lumMod val="75000"/>
                            </a:schemeClr>
                          </a:solidFill>
                        </a:ln>
                        <a:effectLst/>
                      </wps:spPr>
                      <wps:style>
                        <a:lnRef idx="0">
                          <a:schemeClr val="accent1"/>
                        </a:lnRef>
                        <a:fillRef idx="0">
                          <a:schemeClr val="accent1"/>
                        </a:fillRef>
                        <a:effectRef idx="0">
                          <a:schemeClr val="accent1"/>
                        </a:effectRef>
                        <a:fontRef idx="minor">
                          <a:schemeClr val="dk1"/>
                        </a:fontRef>
                      </wps:style>
                      <wps:txbx>
                        <w:txbxContent>
                          <w:p w:rsidR="00740C24" w:rsidRPr="00740C24" w:rsidRDefault="00740C24" w:rsidP="00740C24">
                            <w:pPr>
                              <w:jc w:val="center"/>
                              <w:rPr>
                                <w:b/>
                                <w:sz w:val="18"/>
                              </w:rPr>
                            </w:pPr>
                            <w:r>
                              <w:rPr>
                                <w:b/>
                                <w:sz w:val="18"/>
                              </w:rPr>
                              <w:t xml:space="preserve">Dengue, </w:t>
                            </w:r>
                            <w:proofErr w:type="spellStart"/>
                            <w:r>
                              <w:rPr>
                                <w:b/>
                                <w:sz w:val="18"/>
                              </w:rPr>
                              <w:t>chikungunya</w:t>
                            </w:r>
                            <w:proofErr w:type="spellEnd"/>
                            <w:r>
                              <w:rPr>
                                <w:b/>
                                <w:sz w:val="18"/>
                              </w:rPr>
                              <w:t xml:space="preserve"> et virus </w:t>
                            </w:r>
                            <w:proofErr w:type="spellStart"/>
                            <w:r>
                              <w:rPr>
                                <w:b/>
                                <w:sz w:val="18"/>
                              </w:rPr>
                              <w:t>Zika</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2" o:spid="_x0000_s1041" type="#_x0000_t202" style="position:absolute;margin-left:52.6pt;margin-top:23pt;width:167.15pt;height:19.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" fillcolor="white [3201]" strokecolor="#bfbfbf [2412]" strokeweight="1pt">
                <v:textbox>
                  <w:txbxContent>
                    <w:p w:rsidR="00740C24" w:rsidRPr="00740C24" w:rsidRDefault="00740C24" w:rsidP="00740C24">
                      <w:pPr>
                        <w:jc w:val="center"/>
                        <w:rPr>
                          <w:b/>
                          <w:sz w:val="18"/>
                        </w:rPr>
                      </w:pPr>
                      <w:r>
                        <w:rPr>
                          <w:b/>
                          <w:sz w:val="18"/>
                        </w:rPr>
                        <w:t xml:space="preserve">Dengue, </w:t>
                      </w:r>
                      <w:proofErr w:type="spellStart"/>
                      <w:r>
                        <w:rPr>
                          <w:b/>
                          <w:sz w:val="18"/>
                        </w:rPr>
                        <w:t>chikungunya</w:t>
                      </w:r>
                      <w:proofErr w:type="spellEnd"/>
                      <w:r>
                        <w:rPr>
                          <w:b/>
                          <w:sz w:val="18"/>
                        </w:rPr>
                        <w:t xml:space="preserve"> et virus </w:t>
                      </w:r>
                      <w:proofErr w:type="spellStart"/>
                      <w:r>
                        <w:rPr>
                          <w:b/>
                          <w:sz w:val="18"/>
                        </w:rPr>
                        <w:t>Zika</w:t>
                      </w:r>
                      <w:proofErr w:type="spellEnd"/>
                    </w:p>
                  </w:txbxContent>
                </v:textbox>
              </v:shape>
            </w:pict>
          </mc:Fallback>
        </mc:AlternateContent>
      </w:r>
      <w:r>
        <w:rPr>
          <w:rFonts w:ascii="Times New Roman" w:hAnsi="Times New Roman"/>
          <w:noProof/>
          <w:lang w:val="en-US" w:eastAsia="en-US"/>
        </w:rPr>
        <mc:AlternateContent>
          <mc:Choice Requires="wps">
            <w:drawing>
              <wp:anchor distT="0" distB="0" distL="114300" distR="114300" simplePos="0" relativeHeight="251678720" behindDoc="0" locked="0" layoutInCell="1" allowOverlap="1" wp14:anchorId="49F56A4B" wp14:editId="66FBAC6A">
                <wp:simplePos x="0" y="0"/>
                <wp:positionH relativeFrom="column">
                  <wp:posOffset>2889913</wp:posOffset>
                </wp:positionH>
                <wp:positionV relativeFrom="paragraph">
                  <wp:posOffset>1328806</wp:posOffset>
                </wp:positionV>
                <wp:extent cx="0" cy="321945"/>
                <wp:effectExtent l="0" t="0" r="19050" b="20955"/>
                <wp:wrapNone/>
                <wp:docPr id="46" name="Straight Connector 46"/>
                <wp:cNvGraphicFramePr/>
                <a:graphic xmlns:a="http://schemas.openxmlformats.org/drawingml/2006/main">
                  <a:graphicData uri="http://schemas.microsoft.com/office/word/2010/wordprocessingShape">
                    <wps:wsp>
                      <wps:cNvCnPr/>
                      <wps:spPr>
                        <a:xfrm>
                          <a:off x="0" y="0"/>
                          <a:ext cx="0" cy="32194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C20262D" id="Straight Connector 46"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7.55pt,104.65pt" to="227.55pt,1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" strokecolor="#4a7ebb"/>
            </w:pict>
          </mc:Fallback>
        </mc:AlternateContent>
      </w:r>
      <w:r>
        <w:rPr>
          <w:rFonts w:ascii="Times New Roman" w:hAnsi="Times New Roman"/>
          <w:noProof/>
          <w:lang w:val="en-US" w:eastAsia="en-US"/>
        </w:rPr>
        <mc:AlternateContent>
          <mc:Choice Requires="wps">
            <w:drawing>
              <wp:anchor distT="0" distB="0" distL="114300" distR="114300" simplePos="0" relativeHeight="251677696" behindDoc="0" locked="0" layoutInCell="1" allowOverlap="1" wp14:anchorId="6012514C" wp14:editId="39C5B4F0">
                <wp:simplePos x="0" y="0"/>
                <wp:positionH relativeFrom="column">
                  <wp:posOffset>2618105</wp:posOffset>
                </wp:positionH>
                <wp:positionV relativeFrom="paragraph">
                  <wp:posOffset>1110698</wp:posOffset>
                </wp:positionV>
                <wp:extent cx="914400" cy="214630"/>
                <wp:effectExtent l="0" t="0" r="13970" b="13970"/>
                <wp:wrapNone/>
                <wp:docPr id="45" name="Text Box 45"/>
                <wp:cNvGraphicFramePr/>
                <a:graphic xmlns:a="http://schemas.openxmlformats.org/drawingml/2006/main">
                  <a:graphicData uri="http://schemas.microsoft.com/office/word/2010/wordprocessingShape">
                    <wps:wsp>
                      <wps:cNvSpPr txBox="1"/>
                      <wps:spPr>
                        <a:xfrm>
                          <a:off x="0" y="0"/>
                          <a:ext cx="914400" cy="214630"/>
                        </a:xfrm>
                        <a:prstGeom prst="rect">
                          <a:avLst/>
                        </a:prstGeom>
                        <a:solidFill>
                          <a:schemeClr val="lt1"/>
                        </a:solidFill>
                        <a:ln w="12700">
                          <a:solidFill>
                            <a:schemeClr val="bg1">
                              <a:lumMod val="75000"/>
                            </a:schemeClr>
                          </a:solidFill>
                        </a:ln>
                        <a:effectLst/>
                      </wps:spPr>
                      <wps:style>
                        <a:lnRef idx="0">
                          <a:schemeClr val="accent1"/>
                        </a:lnRef>
                        <a:fillRef idx="0">
                          <a:schemeClr val="accent1"/>
                        </a:fillRef>
                        <a:effectRef idx="0">
                          <a:schemeClr val="accent1"/>
                        </a:effectRef>
                        <a:fontRef idx="minor">
                          <a:schemeClr val="dk1"/>
                        </a:fontRef>
                      </wps:style>
                      <wps:txbx>
                        <w:txbxContent>
                          <w:p w:rsidR="00740C24" w:rsidRPr="0067710F" w:rsidRDefault="00740C24" w:rsidP="00740C24">
                            <w:pPr>
                              <w:rPr>
                                <w:b/>
                                <w:sz w:val="16"/>
                              </w:rPr>
                            </w:pPr>
                            <w:r>
                              <w:rPr>
                                <w:b/>
                                <w:sz w:val="16"/>
                              </w:rPr>
                              <w:t>Dengue</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Text Box 45" o:spid="_x0000_s1042" type="#_x0000_t202" style="position:absolute;margin-left:206.15pt;margin-top:87.45pt;width:1in;height:16.9pt;z-index:25167769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" fillcolor="white [3201]" strokecolor="#bfbfbf [2412]" strokeweight="1pt">
                <v:textbox>
                  <w:txbxContent>
                    <w:p w:rsidR="00740C24" w:rsidRPr="0067710F" w:rsidRDefault="00740C24" w:rsidP="00740C24">
                      <w:pPr>
                        <w:rPr>
                          <w:b/>
                          <w:sz w:val="16"/>
                        </w:rPr>
                      </w:pPr>
                      <w:r>
                        <w:rPr>
                          <w:b/>
                          <w:sz w:val="16"/>
                        </w:rPr>
                        <w:t>Dengue</w:t>
                      </w:r>
                    </w:p>
                  </w:txbxContent>
                </v:textbox>
              </v:shape>
            </w:pict>
          </mc:Fallback>
        </mc:AlternateContent>
      </w:r>
      <w:r>
        <w:rPr>
          <w:rFonts w:ascii="Times New Roman" w:hAnsi="Times New Roman"/>
          <w:noProof/>
          <w:lang w:val="en-US" w:eastAsia="en-US"/>
        </w:rPr>
        <mc:AlternateContent>
          <mc:Choice Requires="wps">
            <w:drawing>
              <wp:anchor distT="0" distB="0" distL="114300" distR="114300" simplePos="0" relativeHeight="251674624" behindDoc="0" locked="0" layoutInCell="1" allowOverlap="1" wp14:anchorId="70BB3D57" wp14:editId="5A2D30DC">
                <wp:simplePos x="0" y="0"/>
                <wp:positionH relativeFrom="column">
                  <wp:posOffset>4922520</wp:posOffset>
                </wp:positionH>
                <wp:positionV relativeFrom="paragraph">
                  <wp:posOffset>675640</wp:posOffset>
                </wp:positionV>
                <wp:extent cx="914400" cy="214630"/>
                <wp:effectExtent l="0" t="0" r="19050" b="13970"/>
                <wp:wrapNone/>
                <wp:docPr id="40" name="Text Box 40"/>
                <wp:cNvGraphicFramePr/>
                <a:graphic xmlns:a="http://schemas.openxmlformats.org/drawingml/2006/main">
                  <a:graphicData uri="http://schemas.microsoft.com/office/word/2010/wordprocessingShape">
                    <wps:wsp>
                      <wps:cNvSpPr txBox="1"/>
                      <wps:spPr>
                        <a:xfrm>
                          <a:off x="0" y="0"/>
                          <a:ext cx="914400" cy="214630"/>
                        </a:xfrm>
                        <a:prstGeom prst="rect">
                          <a:avLst/>
                        </a:prstGeom>
                        <a:solidFill>
                          <a:schemeClr val="lt1"/>
                        </a:solidFill>
                        <a:ln w="12700">
                          <a:solidFill>
                            <a:schemeClr val="bg1">
                              <a:lumMod val="75000"/>
                            </a:schemeClr>
                          </a:solidFill>
                        </a:ln>
                        <a:effectLst/>
                      </wps:spPr>
                      <wps:style>
                        <a:lnRef idx="0">
                          <a:schemeClr val="accent1"/>
                        </a:lnRef>
                        <a:fillRef idx="0">
                          <a:schemeClr val="accent1"/>
                        </a:fillRef>
                        <a:effectRef idx="0">
                          <a:schemeClr val="accent1"/>
                        </a:effectRef>
                        <a:fontRef idx="minor">
                          <a:schemeClr val="dk1"/>
                        </a:fontRef>
                      </wps:style>
                      <wps:txbx>
                        <w:txbxContent>
                          <w:p w:rsidR="00740C24" w:rsidRPr="0067710F" w:rsidRDefault="00740C24" w:rsidP="00740C24">
                            <w:pPr>
                              <w:rPr>
                                <w:b/>
                                <w:sz w:val="16"/>
                              </w:rPr>
                            </w:pPr>
                            <w:r>
                              <w:rPr>
                                <w:b/>
                                <w:sz w:val="16"/>
                              </w:rPr>
                              <w:t>Dengue</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Text Box 40" o:spid="_x0000_s1043" type="#_x0000_t202" style="position:absolute;margin-left:387.6pt;margin-top:53.2pt;width:1in;height:16.9pt;z-index:25167462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" fillcolor="white [3201]" strokecolor="#bfbfbf [2412]" strokeweight="1pt">
                <v:textbox>
                  <w:txbxContent>
                    <w:p w:rsidR="00740C24" w:rsidRPr="0067710F" w:rsidRDefault="00740C24" w:rsidP="00740C24">
                      <w:pPr>
                        <w:rPr>
                          <w:b/>
                          <w:sz w:val="16"/>
                        </w:rPr>
                      </w:pPr>
                      <w:r>
                        <w:rPr>
                          <w:b/>
                          <w:sz w:val="16"/>
                        </w:rPr>
                        <w:t>Dengue</w:t>
                      </w:r>
                    </w:p>
                  </w:txbxContent>
                </v:textbox>
              </v:shape>
            </w:pict>
          </mc:Fallback>
        </mc:AlternateContent>
      </w:r>
      <w:r>
        <w:rPr>
          <w:rFonts w:ascii="Times New Roman" w:hAnsi="Times New Roman"/>
          <w:noProof/>
          <w:lang w:val="en-US" w:eastAsia="en-US"/>
        </w:rPr>
        <mc:AlternateContent>
          <mc:Choice Requires="wps">
            <w:drawing>
              <wp:anchor distT="0" distB="0" distL="114300" distR="114300" simplePos="0" relativeHeight="251673600" behindDoc="0" locked="0" layoutInCell="1" allowOverlap="1" wp14:anchorId="12B84450" wp14:editId="4221631D">
                <wp:simplePos x="0" y="0"/>
                <wp:positionH relativeFrom="column">
                  <wp:posOffset>3577894</wp:posOffset>
                </wp:positionH>
                <wp:positionV relativeFrom="paragraph">
                  <wp:posOffset>897255</wp:posOffset>
                </wp:positionV>
                <wp:extent cx="914400" cy="214630"/>
                <wp:effectExtent l="0" t="0" r="19050" b="13970"/>
                <wp:wrapNone/>
                <wp:docPr id="39" name="Text Box 39"/>
                <wp:cNvGraphicFramePr/>
                <a:graphic xmlns:a="http://schemas.openxmlformats.org/drawingml/2006/main">
                  <a:graphicData uri="http://schemas.microsoft.com/office/word/2010/wordprocessingShape">
                    <wps:wsp>
                      <wps:cNvSpPr txBox="1"/>
                      <wps:spPr>
                        <a:xfrm>
                          <a:off x="0" y="0"/>
                          <a:ext cx="914400" cy="214630"/>
                        </a:xfrm>
                        <a:prstGeom prst="rect">
                          <a:avLst/>
                        </a:prstGeom>
                        <a:solidFill>
                          <a:schemeClr val="lt1"/>
                        </a:solidFill>
                        <a:ln w="12700">
                          <a:solidFill>
                            <a:schemeClr val="bg1">
                              <a:lumMod val="75000"/>
                            </a:schemeClr>
                          </a:solidFill>
                        </a:ln>
                        <a:effectLst/>
                      </wps:spPr>
                      <wps:style>
                        <a:lnRef idx="0">
                          <a:schemeClr val="accent1"/>
                        </a:lnRef>
                        <a:fillRef idx="0">
                          <a:schemeClr val="accent1"/>
                        </a:fillRef>
                        <a:effectRef idx="0">
                          <a:schemeClr val="accent1"/>
                        </a:effectRef>
                        <a:fontRef idx="minor">
                          <a:schemeClr val="dk1"/>
                        </a:fontRef>
                      </wps:style>
                      <wps:txbx>
                        <w:txbxContent>
                          <w:p w:rsidR="00740C24" w:rsidRPr="0067710F" w:rsidRDefault="00740C24" w:rsidP="00740C24">
                            <w:pPr>
                              <w:rPr>
                                <w:b/>
                                <w:sz w:val="16"/>
                              </w:rPr>
                            </w:pPr>
                            <w:r>
                              <w:rPr>
                                <w:b/>
                                <w:sz w:val="16"/>
                              </w:rPr>
                              <w:t>Dengue</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Text Box 39" o:spid="_x0000_s1044" type="#_x0000_t202" style="position:absolute;margin-left:281.7pt;margin-top:70.65pt;width:1in;height:16.9pt;z-index:25167360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" fillcolor="white [3201]" strokecolor="#bfbfbf [2412]" strokeweight="1pt">
                <v:textbox>
                  <w:txbxContent>
                    <w:p w:rsidR="00740C24" w:rsidRPr="0067710F" w:rsidRDefault="00740C24" w:rsidP="00740C24">
                      <w:pPr>
                        <w:rPr>
                          <w:b/>
                          <w:sz w:val="16"/>
                        </w:rPr>
                      </w:pPr>
                      <w:r>
                        <w:rPr>
                          <w:b/>
                          <w:sz w:val="16"/>
                        </w:rPr>
                        <w:t>Dengue</w:t>
                      </w:r>
                    </w:p>
                  </w:txbxContent>
                </v:textbox>
              </v:shape>
            </w:pict>
          </mc:Fallback>
        </mc:AlternateContent>
      </w:r>
      <w:r>
        <w:rPr>
          <w:rFonts w:ascii="Times New Roman" w:hAnsi="Times New Roman"/>
          <w:noProof/>
          <w:lang w:val="en-US" w:eastAsia="en-US"/>
        </w:rPr>
        <mc:AlternateContent>
          <mc:Choice Requires="wps">
            <w:drawing>
              <wp:anchor distT="0" distB="0" distL="114300" distR="114300" simplePos="0" relativeHeight="251668480" behindDoc="0" locked="0" layoutInCell="1" allowOverlap="1" wp14:anchorId="15E43644" wp14:editId="6F02834D">
                <wp:simplePos x="0" y="0"/>
                <wp:positionH relativeFrom="column">
                  <wp:posOffset>3818890</wp:posOffset>
                </wp:positionH>
                <wp:positionV relativeFrom="paragraph">
                  <wp:posOffset>1105204</wp:posOffset>
                </wp:positionV>
                <wp:extent cx="0" cy="321945"/>
                <wp:effectExtent l="0" t="0" r="19050" b="20955"/>
                <wp:wrapNone/>
                <wp:docPr id="31" name="Straight Connector 31"/>
                <wp:cNvGraphicFramePr/>
                <a:graphic xmlns:a="http://schemas.openxmlformats.org/drawingml/2006/main">
                  <a:graphicData uri="http://schemas.microsoft.com/office/word/2010/wordprocessingShape">
                    <wps:wsp>
                      <wps:cNvCnPr/>
                      <wps:spPr>
                        <a:xfrm>
                          <a:off x="0" y="0"/>
                          <a:ext cx="0" cy="32194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A0E6CB6" id="Straight Connector 3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0.7pt,87pt" to="300.7pt,1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" strokecolor="#4a7ebb"/>
            </w:pict>
          </mc:Fallback>
        </mc:AlternateContent>
      </w:r>
      <w:r>
        <w:rPr>
          <w:rFonts w:ascii="Times New Roman" w:hAnsi="Times New Roman"/>
          <w:noProof/>
          <w:lang w:val="en-US" w:eastAsia="en-US"/>
        </w:rPr>
        <mc:AlternateContent>
          <mc:Choice Requires="wps">
            <w:drawing>
              <wp:anchor distT="0" distB="0" distL="114300" distR="114300" simplePos="0" relativeHeight="251667456" behindDoc="0" locked="0" layoutInCell="1" allowOverlap="1" wp14:anchorId="4E740E71" wp14:editId="555AED6D">
                <wp:simplePos x="0" y="0"/>
                <wp:positionH relativeFrom="column">
                  <wp:posOffset>4850765</wp:posOffset>
                </wp:positionH>
                <wp:positionV relativeFrom="paragraph">
                  <wp:posOffset>892810</wp:posOffset>
                </wp:positionV>
                <wp:extent cx="347980" cy="359410"/>
                <wp:effectExtent l="0" t="0" r="33020" b="21590"/>
                <wp:wrapNone/>
                <wp:docPr id="26" name="Straight Connector 26"/>
                <wp:cNvGraphicFramePr/>
                <a:graphic xmlns:a="http://schemas.openxmlformats.org/drawingml/2006/main">
                  <a:graphicData uri="http://schemas.microsoft.com/office/word/2010/wordprocessingShape">
                    <wps:wsp>
                      <wps:cNvCnPr/>
                      <wps:spPr>
                        <a:xfrm flipH="1">
                          <a:off x="0" y="0"/>
                          <a:ext cx="347980" cy="35941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EC5B54B" id="Straight Connector 26" o:spid="_x0000_s1026" style="position:absolute;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1.95pt,70.3pt" to="409.35pt,9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" strokecolor="#4a7ebb"/>
            </w:pict>
          </mc:Fallback>
        </mc:AlternateContent>
      </w:r>
      <w:r>
        <w:rPr>
          <w:rFonts w:ascii="Times New Roman" w:hAnsi="Times New Roman"/>
          <w:noProof/>
          <w:lang w:val="en-US" w:eastAsia="en-US"/>
        </w:rPr>
        <w:drawing>
          <wp:inline distT="0" distB="0" distL="0" distR="0" wp14:anchorId="1C53496A" wp14:editId="423420AE">
            <wp:extent cx="5721509" cy="253515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23932" cy="2536232"/>
                    </a:xfrm>
                    <a:prstGeom prst="rect">
                      <a:avLst/>
                    </a:prstGeom>
                    <a:noFill/>
                  </pic:spPr>
                </pic:pic>
              </a:graphicData>
            </a:graphic>
          </wp:inline>
        </w:drawing>
      </w:r>
    </w:p>
    <w:p w:rsidR="002D0718" w:rsidRPr="00CB5197" w:rsidRDefault="00C9113E" w:rsidP="00740C24">
      <w:pPr>
        <w:rPr>
          <w:rFonts w:ascii="Times New Roman" w:hAnsi="Times New Roman" w:cs="Times New Roman"/>
          <w:b/>
          <w:bCs/>
        </w:rPr>
      </w:pPr>
      <w:r w:rsidRPr="00C9113E">
        <w:rPr>
          <w:rFonts w:ascii="Times New Roman" w:hAnsi="Times New Roman" w:cs="Times New Roman"/>
          <w:b/>
          <w:bCs/>
          <w:highlight w:val="yellow"/>
        </w:rPr>
        <w:lastRenderedPageBreak/>
        <w:t>Dengue-</w:t>
      </w:r>
      <w:proofErr w:type="spellStart"/>
      <w:r w:rsidRPr="00C9113E">
        <w:rPr>
          <w:rFonts w:ascii="Times New Roman" w:hAnsi="Times New Roman" w:cs="Times New Roman"/>
          <w:b/>
          <w:bCs/>
          <w:highlight w:val="yellow"/>
        </w:rPr>
        <w:t>like</w:t>
      </w:r>
      <w:proofErr w:type="spellEnd"/>
      <w:r w:rsidRPr="00C9113E">
        <w:rPr>
          <w:rFonts w:ascii="Times New Roman" w:hAnsi="Times New Roman" w:cs="Times New Roman"/>
          <w:b/>
          <w:bCs/>
          <w:highlight w:val="yellow"/>
        </w:rPr>
        <w:t xml:space="preserve"> </w:t>
      </w:r>
      <w:proofErr w:type="spellStart"/>
      <w:r w:rsidRPr="00C9113E">
        <w:rPr>
          <w:rFonts w:ascii="Times New Roman" w:hAnsi="Times New Roman" w:cs="Times New Roman"/>
          <w:b/>
          <w:bCs/>
          <w:highlight w:val="yellow"/>
        </w:rPr>
        <w:t>illness</w:t>
      </w:r>
      <w:proofErr w:type="spellEnd"/>
      <w:r w:rsidRPr="00C9113E">
        <w:rPr>
          <w:rFonts w:ascii="Times New Roman" w:hAnsi="Times New Roman" w:cs="Times New Roman"/>
          <w:b/>
          <w:bCs/>
          <w:highlight w:val="yellow"/>
        </w:rPr>
        <w:t>, 2014-2018 (n=32,171)=</w:t>
      </w:r>
      <w:r>
        <w:rPr>
          <w:rFonts w:ascii="Times New Roman" w:hAnsi="Times New Roman" w:cs="Times New Roman"/>
          <w:b/>
          <w:bCs/>
        </w:rPr>
        <w:t xml:space="preserve"> </w:t>
      </w:r>
      <w:r w:rsidR="00CB5197" w:rsidRPr="00CB5197">
        <w:rPr>
          <w:rFonts w:ascii="Times New Roman" w:hAnsi="Times New Roman" w:cs="Times New Roman"/>
          <w:b/>
          <w:bCs/>
        </w:rPr>
        <w:t xml:space="preserve">Cas </w:t>
      </w:r>
      <w:r w:rsidR="002D0718" w:rsidRPr="00CB5197">
        <w:rPr>
          <w:rFonts w:ascii="Times New Roman" w:hAnsi="Times New Roman" w:cs="Times New Roman"/>
          <w:b/>
          <w:bCs/>
        </w:rPr>
        <w:t>cliniquement évocateurs de d</w:t>
      </w:r>
      <w:r w:rsidR="00CB5197" w:rsidRPr="00CB5197">
        <w:rPr>
          <w:rFonts w:ascii="Times New Roman" w:hAnsi="Times New Roman" w:cs="Times New Roman"/>
          <w:b/>
          <w:bCs/>
        </w:rPr>
        <w:t>e</w:t>
      </w:r>
      <w:r w:rsidR="002D0718" w:rsidRPr="00CB5197">
        <w:rPr>
          <w:rFonts w:ascii="Times New Roman" w:hAnsi="Times New Roman" w:cs="Times New Roman"/>
          <w:b/>
          <w:bCs/>
        </w:rPr>
        <w:t xml:space="preserve">ngue, </w:t>
      </w:r>
      <w:r w:rsidR="00CB5197" w:rsidRPr="00CB5197">
        <w:rPr>
          <w:rFonts w:ascii="Times New Roman" w:hAnsi="Times New Roman" w:cs="Times New Roman"/>
          <w:b/>
          <w:bCs/>
        </w:rPr>
        <w:t>2014–2018</w:t>
      </w:r>
      <w:r w:rsidR="002D0718" w:rsidRPr="00CB5197">
        <w:rPr>
          <w:rFonts w:ascii="Times New Roman" w:hAnsi="Times New Roman" w:cs="Times New Roman"/>
          <w:b/>
          <w:bCs/>
        </w:rPr>
        <w:t xml:space="preserve"> (32</w:t>
      </w:r>
      <w:r w:rsidR="00CB5197" w:rsidRPr="00CB5197">
        <w:rPr>
          <w:rFonts w:ascii="Times New Roman" w:hAnsi="Times New Roman" w:cs="Times New Roman"/>
          <w:b/>
          <w:bCs/>
        </w:rPr>
        <w:t> </w:t>
      </w:r>
      <w:r w:rsidR="002D0718" w:rsidRPr="00CB5197">
        <w:rPr>
          <w:rFonts w:ascii="Times New Roman" w:hAnsi="Times New Roman" w:cs="Times New Roman"/>
          <w:b/>
          <w:bCs/>
        </w:rPr>
        <w:t>171</w:t>
      </w:r>
      <w:r w:rsidR="00CB5197" w:rsidRPr="00CB5197">
        <w:rPr>
          <w:rFonts w:ascii="Times New Roman" w:hAnsi="Times New Roman" w:cs="Times New Roman"/>
          <w:b/>
          <w:bCs/>
        </w:rPr>
        <w:t> </w:t>
      </w:r>
      <w:r w:rsidR="002D0718" w:rsidRPr="00CB5197">
        <w:rPr>
          <w:rFonts w:ascii="Times New Roman" w:hAnsi="Times New Roman" w:cs="Times New Roman"/>
          <w:b/>
          <w:bCs/>
        </w:rPr>
        <w:t>cas)</w:t>
      </w:r>
    </w:p>
    <w:p w:rsidR="00740C24" w:rsidRDefault="00740C24" w:rsidP="00740C24">
      <w:pPr>
        <w:rPr>
          <w:rFonts w:ascii="Times New Roman" w:hAnsi="Times New Roman" w:cs="Times New Roman"/>
          <w:sz w:val="20"/>
        </w:rPr>
      </w:pPr>
      <w:r>
        <w:rPr>
          <w:rFonts w:ascii="Times New Roman" w:hAnsi="Times New Roman"/>
          <w:sz w:val="20"/>
        </w:rPr>
        <w:t xml:space="preserve">Seuls </w:t>
      </w:r>
      <w:r w:rsidRPr="00106481">
        <w:rPr>
          <w:rFonts w:ascii="Times New Roman" w:hAnsi="Times New Roman"/>
          <w:sz w:val="20"/>
        </w:rPr>
        <w:t>1</w:t>
      </w:r>
      <w:r w:rsidR="00106481" w:rsidRPr="00106481">
        <w:rPr>
          <w:rFonts w:ascii="Times New Roman" w:hAnsi="Times New Roman"/>
          <w:sz w:val="20"/>
        </w:rPr>
        <w:t>5</w:t>
      </w:r>
      <w:r w:rsidRPr="00106481">
        <w:rPr>
          <w:rFonts w:ascii="Times New Roman" w:hAnsi="Times New Roman"/>
          <w:sz w:val="20"/>
        </w:rPr>
        <w:t> États</w:t>
      </w:r>
      <w:r>
        <w:rPr>
          <w:rFonts w:ascii="Times New Roman" w:hAnsi="Times New Roman"/>
          <w:sz w:val="20"/>
        </w:rPr>
        <w:t xml:space="preserve"> et Territoires insulaires océaniens utilisent pour l</w:t>
      </w:r>
      <w:r w:rsidR="00AD4EEC">
        <w:rPr>
          <w:rFonts w:ascii="Times New Roman" w:hAnsi="Times New Roman"/>
          <w:sz w:val="20"/>
        </w:rPr>
        <w:t>’</w:t>
      </w:r>
      <w:r>
        <w:rPr>
          <w:rFonts w:ascii="Times New Roman" w:hAnsi="Times New Roman"/>
          <w:sz w:val="20"/>
        </w:rPr>
        <w:t>heure l</w:t>
      </w:r>
      <w:r w:rsidR="00AD4EEC">
        <w:rPr>
          <w:rFonts w:ascii="Times New Roman" w:hAnsi="Times New Roman"/>
          <w:sz w:val="20"/>
        </w:rPr>
        <w:t>’</w:t>
      </w:r>
      <w:r>
        <w:rPr>
          <w:rFonts w:ascii="Times New Roman" w:hAnsi="Times New Roman"/>
          <w:sz w:val="20"/>
        </w:rPr>
        <w:t xml:space="preserve">indicateur relatif aux cas cliniquement évocateurs de dengue. On </w:t>
      </w:r>
      <w:r w:rsidRPr="00002241">
        <w:rPr>
          <w:rFonts w:ascii="Times New Roman" w:hAnsi="Times New Roman"/>
          <w:sz w:val="20"/>
        </w:rPr>
        <w:t>observe une augmentation de l</w:t>
      </w:r>
      <w:r w:rsidR="00AD4EEC" w:rsidRPr="00002241">
        <w:rPr>
          <w:rFonts w:ascii="Times New Roman" w:hAnsi="Times New Roman"/>
          <w:sz w:val="20"/>
        </w:rPr>
        <w:t>’</w:t>
      </w:r>
      <w:r w:rsidRPr="00002241">
        <w:rPr>
          <w:rFonts w:ascii="Times New Roman" w:hAnsi="Times New Roman"/>
          <w:sz w:val="20"/>
        </w:rPr>
        <w:t xml:space="preserve">utilisation </w:t>
      </w:r>
      <w:r w:rsidR="00002241" w:rsidRPr="00002241">
        <w:rPr>
          <w:rFonts w:ascii="Times New Roman" w:hAnsi="Times New Roman"/>
          <w:sz w:val="20"/>
        </w:rPr>
        <w:t>de l’indicateur</w:t>
      </w:r>
      <w:r w:rsidR="00002241">
        <w:rPr>
          <w:rFonts w:ascii="Times New Roman" w:hAnsi="Times New Roman"/>
          <w:sz w:val="20"/>
        </w:rPr>
        <w:t xml:space="preserve"> </w:t>
      </w:r>
      <w:r>
        <w:rPr>
          <w:rFonts w:ascii="Times New Roman" w:hAnsi="Times New Roman"/>
          <w:sz w:val="20"/>
        </w:rPr>
        <w:t>depuis 2015.</w:t>
      </w:r>
    </w:p>
    <w:p w:rsidR="00740C24" w:rsidRDefault="00740C24" w:rsidP="00740C24">
      <w:pPr>
        <w:rPr>
          <w:rFonts w:ascii="Times New Roman" w:hAnsi="Times New Roman" w:cs="Times New Roman"/>
          <w:sz w:val="20"/>
        </w:rPr>
      </w:pPr>
    </w:p>
    <w:p w:rsidR="00740C24" w:rsidRPr="006C35DB" w:rsidRDefault="00740C24" w:rsidP="00740C24">
      <w:pPr>
        <w:rPr>
          <w:rFonts w:ascii="Times New Roman" w:hAnsi="Times New Roman" w:cs="Times New Roman"/>
          <w:sz w:val="20"/>
        </w:rPr>
        <w:sectPr w:rsidR="00740C24" w:rsidRPr="006C35DB" w:rsidSect="00895403">
          <w:headerReference w:type="default" r:id="rId20"/>
          <w:headerReference w:type="first" r:id="rId21"/>
          <w:pgSz w:w="11906" w:h="16838" w:code="9"/>
          <w:pgMar w:top="1440" w:right="1440" w:bottom="1134" w:left="1440" w:header="567" w:footer="567" w:gutter="0"/>
          <w:cols w:space="708"/>
          <w:titlePg/>
          <w:docGrid w:linePitch="360"/>
        </w:sectPr>
      </w:pPr>
    </w:p>
    <w:p w:rsidR="00740C24" w:rsidRPr="006C35DB" w:rsidRDefault="00740C24" w:rsidP="00740C24">
      <w:pPr>
        <w:rPr>
          <w:rFonts w:ascii="Times New Roman" w:hAnsi="Times New Roman" w:cs="Times New Roman"/>
          <w:b/>
        </w:rPr>
      </w:pPr>
      <w:r>
        <w:rPr>
          <w:rFonts w:ascii="Times New Roman" w:hAnsi="Times New Roman"/>
          <w:b/>
          <w:bCs/>
        </w:rPr>
        <w:lastRenderedPageBreak/>
        <w:t xml:space="preserve">Annexe 2. </w:t>
      </w:r>
      <w:r>
        <w:rPr>
          <w:rFonts w:ascii="Times New Roman" w:hAnsi="Times New Roman"/>
          <w:b/>
        </w:rPr>
        <w:t>Résultat des évaluations relatives au système de gestion de la qualité des laboratoires (normes minimales de l</w:t>
      </w:r>
      <w:r w:rsidR="00AD4EEC">
        <w:rPr>
          <w:rFonts w:ascii="Times New Roman" w:hAnsi="Times New Roman"/>
          <w:b/>
        </w:rPr>
        <w:t>’</w:t>
      </w:r>
      <w:r>
        <w:rPr>
          <w:rFonts w:ascii="Times New Roman" w:hAnsi="Times New Roman"/>
          <w:b/>
        </w:rPr>
        <w:t>OMS) et au processus SLIPTA (norme ISO 15189), 2015</w:t>
      </w:r>
      <w:r w:rsidR="00297BEB">
        <w:rPr>
          <w:rFonts w:ascii="Times New Roman" w:hAnsi="Times New Roman"/>
          <w:b/>
        </w:rPr>
        <w:t>–</w:t>
      </w:r>
      <w:r>
        <w:rPr>
          <w:rFonts w:ascii="Times New Roman" w:hAnsi="Times New Roman"/>
          <w:b/>
        </w:rPr>
        <w:t>2019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35"/>
        <w:gridCol w:w="2637"/>
      </w:tblGrid>
      <w:tr w:rsidR="00740C24" w:rsidRPr="006C35DB" w:rsidTr="00FC709A">
        <w:tc>
          <w:tcPr>
            <w:tcW w:w="3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0C24" w:rsidRPr="00740C24" w:rsidRDefault="00740C24" w:rsidP="00FC709A">
            <w:pPr>
              <w:spacing w:after="0" w:line="240" w:lineRule="auto"/>
              <w:rPr>
                <w:rFonts w:ascii="Times New Roman" w:eastAsia="Calibri" w:hAnsi="Times New Roman" w:cs="Times New Roman"/>
              </w:rPr>
            </w:pPr>
            <w:r>
              <w:rPr>
                <w:rFonts w:ascii="Times New Roman" w:hAnsi="Times New Roman"/>
                <w:b/>
              </w:rPr>
              <w:t>Laboratoire/État ou Territoire insulaire océanien</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740C24" w:rsidRPr="00B86AB6" w:rsidRDefault="00740C24" w:rsidP="00FC709A">
            <w:pPr>
              <w:spacing w:after="0" w:line="240" w:lineRule="auto"/>
              <w:jc w:val="center"/>
              <w:rPr>
                <w:rFonts w:ascii="Times New Roman" w:eastAsia="Calibri" w:hAnsi="Times New Roman" w:cs="Times New Roman"/>
                <w:b/>
              </w:rPr>
            </w:pPr>
            <w:r>
              <w:rPr>
                <w:rFonts w:ascii="Times New Roman" w:hAnsi="Times New Roman"/>
                <w:b/>
              </w:rPr>
              <w:t>Respect des normes minimales de l</w:t>
            </w:r>
            <w:r w:rsidR="00AD4EEC">
              <w:rPr>
                <w:rFonts w:ascii="Times New Roman" w:hAnsi="Times New Roman"/>
                <w:b/>
              </w:rPr>
              <w:t>’</w:t>
            </w:r>
            <w:r>
              <w:rPr>
                <w:rFonts w:ascii="Times New Roman" w:hAnsi="Times New Roman"/>
                <w:b/>
              </w:rPr>
              <w:t>OMS</w:t>
            </w:r>
          </w:p>
        </w:tc>
        <w:tc>
          <w:tcPr>
            <w:tcW w:w="2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740C24" w:rsidRPr="00B86AB6" w:rsidRDefault="00740C24" w:rsidP="00FC709A">
            <w:pPr>
              <w:spacing w:after="0" w:line="240" w:lineRule="auto"/>
              <w:jc w:val="center"/>
              <w:rPr>
                <w:rFonts w:ascii="Times New Roman" w:eastAsia="Calibri" w:hAnsi="Times New Roman" w:cs="Times New Roman"/>
                <w:b/>
              </w:rPr>
            </w:pPr>
            <w:r>
              <w:rPr>
                <w:rFonts w:ascii="Times New Roman" w:hAnsi="Times New Roman"/>
                <w:b/>
              </w:rPr>
              <w:t>Respect de la norme ISO 15189 / SLIPTA</w:t>
            </w:r>
          </w:p>
        </w:tc>
      </w:tr>
      <w:tr w:rsidR="00740C24" w:rsidRPr="006C35DB" w:rsidTr="00FC709A">
        <w:tc>
          <w:tcPr>
            <w:tcW w:w="3539" w:type="dxa"/>
            <w:tcBorders>
              <w:top w:val="single" w:sz="4" w:space="0" w:color="auto"/>
              <w:left w:val="single" w:sz="4" w:space="0" w:color="auto"/>
              <w:bottom w:val="single" w:sz="4" w:space="0" w:color="auto"/>
              <w:right w:val="single" w:sz="4" w:space="0" w:color="auto"/>
            </w:tcBorders>
            <w:shd w:val="clear" w:color="auto" w:fill="auto"/>
            <w:hideMark/>
          </w:tcPr>
          <w:p w:rsidR="00740C24" w:rsidRPr="00740C24" w:rsidRDefault="00740C24" w:rsidP="00FC709A">
            <w:pPr>
              <w:spacing w:after="0" w:line="240" w:lineRule="auto"/>
              <w:rPr>
                <w:rFonts w:ascii="Times New Roman" w:eastAsia="Calibri" w:hAnsi="Times New Roman" w:cs="Times New Roman"/>
              </w:rPr>
            </w:pPr>
            <w:r>
              <w:rPr>
                <w:rFonts w:ascii="Times New Roman" w:hAnsi="Times New Roman"/>
              </w:rPr>
              <w:t>TONGA  VCH</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740C24" w:rsidRPr="006C35DB" w:rsidRDefault="00740C24" w:rsidP="00FC709A">
            <w:pPr>
              <w:spacing w:after="0" w:line="240" w:lineRule="auto"/>
              <w:jc w:val="center"/>
              <w:rPr>
                <w:rFonts w:ascii="Times New Roman" w:eastAsia="Calibri" w:hAnsi="Times New Roman" w:cs="Times New Roman"/>
              </w:rPr>
            </w:pPr>
            <w:r>
              <w:rPr>
                <w:rFonts w:ascii="Times New Roman" w:hAnsi="Times New Roman"/>
              </w:rPr>
              <w:t>100 %</w:t>
            </w:r>
          </w:p>
        </w:tc>
        <w:tc>
          <w:tcPr>
            <w:tcW w:w="2637" w:type="dxa"/>
            <w:tcBorders>
              <w:top w:val="single" w:sz="4" w:space="0" w:color="auto"/>
              <w:left w:val="single" w:sz="4" w:space="0" w:color="auto"/>
              <w:bottom w:val="single" w:sz="4" w:space="0" w:color="auto"/>
              <w:right w:val="single" w:sz="4" w:space="0" w:color="auto"/>
            </w:tcBorders>
            <w:shd w:val="clear" w:color="auto" w:fill="auto"/>
            <w:hideMark/>
          </w:tcPr>
          <w:p w:rsidR="00740C24" w:rsidRPr="006C35DB" w:rsidRDefault="00740C24" w:rsidP="00FC709A">
            <w:pPr>
              <w:spacing w:after="0" w:line="240" w:lineRule="auto"/>
              <w:jc w:val="center"/>
              <w:rPr>
                <w:rFonts w:ascii="Times New Roman" w:eastAsia="Calibri" w:hAnsi="Times New Roman" w:cs="Times New Roman"/>
              </w:rPr>
            </w:pPr>
            <w:r>
              <w:rPr>
                <w:rFonts w:ascii="Times New Roman" w:hAnsi="Times New Roman"/>
              </w:rPr>
              <w:t>97 % (2018)</w:t>
            </w:r>
          </w:p>
        </w:tc>
      </w:tr>
      <w:tr w:rsidR="00740C24" w:rsidRPr="006C35DB" w:rsidTr="00FC709A">
        <w:tc>
          <w:tcPr>
            <w:tcW w:w="3539" w:type="dxa"/>
            <w:tcBorders>
              <w:top w:val="single" w:sz="4" w:space="0" w:color="auto"/>
              <w:left w:val="single" w:sz="4" w:space="0" w:color="auto"/>
              <w:bottom w:val="single" w:sz="4" w:space="0" w:color="auto"/>
              <w:right w:val="single" w:sz="4" w:space="0" w:color="auto"/>
            </w:tcBorders>
            <w:shd w:val="clear" w:color="auto" w:fill="auto"/>
            <w:hideMark/>
          </w:tcPr>
          <w:p w:rsidR="00740C24" w:rsidRPr="00740C24" w:rsidRDefault="00740C24" w:rsidP="00FC709A">
            <w:pPr>
              <w:spacing w:after="0" w:line="240" w:lineRule="auto"/>
              <w:rPr>
                <w:rFonts w:ascii="Times New Roman" w:eastAsia="Calibri" w:hAnsi="Times New Roman" w:cs="Times New Roman"/>
              </w:rPr>
            </w:pPr>
            <w:r>
              <w:rPr>
                <w:rFonts w:ascii="Times New Roman" w:hAnsi="Times New Roman"/>
              </w:rPr>
              <w:t>TONGA  Laboratoires provinciaux</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740C24" w:rsidRPr="006C35DB" w:rsidRDefault="00740C24" w:rsidP="00FC709A">
            <w:pPr>
              <w:spacing w:after="0" w:line="240" w:lineRule="auto"/>
              <w:jc w:val="center"/>
              <w:rPr>
                <w:rFonts w:ascii="Times New Roman" w:eastAsia="Calibri" w:hAnsi="Times New Roman" w:cs="Times New Roman"/>
                <w:lang w:val="en-NZ" w:eastAsia="en-US"/>
              </w:rPr>
            </w:pPr>
          </w:p>
        </w:tc>
        <w:tc>
          <w:tcPr>
            <w:tcW w:w="2637" w:type="dxa"/>
            <w:tcBorders>
              <w:top w:val="single" w:sz="4" w:space="0" w:color="auto"/>
              <w:left w:val="single" w:sz="4" w:space="0" w:color="auto"/>
              <w:bottom w:val="single" w:sz="4" w:space="0" w:color="auto"/>
              <w:right w:val="single" w:sz="4" w:space="0" w:color="auto"/>
            </w:tcBorders>
            <w:shd w:val="clear" w:color="auto" w:fill="auto"/>
          </w:tcPr>
          <w:p w:rsidR="00740C24" w:rsidRPr="006C35DB" w:rsidRDefault="00740C24" w:rsidP="00FC709A">
            <w:pPr>
              <w:spacing w:after="0" w:line="240" w:lineRule="auto"/>
              <w:jc w:val="center"/>
              <w:rPr>
                <w:rFonts w:ascii="Times New Roman" w:eastAsia="Calibri" w:hAnsi="Times New Roman" w:cs="Times New Roman"/>
                <w:lang w:val="en-NZ" w:eastAsia="en-US"/>
              </w:rPr>
            </w:pPr>
          </w:p>
        </w:tc>
      </w:tr>
      <w:tr w:rsidR="00740C24" w:rsidRPr="006C35DB" w:rsidTr="00FC709A">
        <w:tc>
          <w:tcPr>
            <w:tcW w:w="3539" w:type="dxa"/>
            <w:tcBorders>
              <w:top w:val="single" w:sz="4" w:space="0" w:color="auto"/>
              <w:left w:val="single" w:sz="4" w:space="0" w:color="auto"/>
              <w:bottom w:val="single" w:sz="4" w:space="0" w:color="auto"/>
              <w:right w:val="single" w:sz="4" w:space="0" w:color="auto"/>
            </w:tcBorders>
            <w:shd w:val="clear" w:color="auto" w:fill="auto"/>
          </w:tcPr>
          <w:p w:rsidR="00740C24" w:rsidRPr="006C35DB" w:rsidRDefault="00740C24" w:rsidP="00FC709A">
            <w:pPr>
              <w:spacing w:after="0" w:line="240" w:lineRule="auto"/>
              <w:ind w:firstLine="176"/>
              <w:rPr>
                <w:rFonts w:ascii="Times New Roman" w:eastAsia="Calibri" w:hAnsi="Times New Roman" w:cs="Times New Roman"/>
              </w:rPr>
            </w:pPr>
            <w:proofErr w:type="spellStart"/>
            <w:r>
              <w:rPr>
                <w:rFonts w:ascii="Times New Roman" w:hAnsi="Times New Roman"/>
              </w:rPr>
              <w:t>Eua</w:t>
            </w:r>
            <w:proofErr w:type="spellEnd"/>
            <w:r>
              <w:rPr>
                <w:rFonts w:ascii="Times New Roman" w:hAnsi="Times New Roman"/>
              </w:rPr>
              <w:t xml:space="preserve">, </w:t>
            </w:r>
            <w:proofErr w:type="spellStart"/>
            <w:r>
              <w:rPr>
                <w:rFonts w:ascii="Times New Roman" w:hAnsi="Times New Roman"/>
              </w:rPr>
              <w:t>Vavau</w:t>
            </w:r>
            <w:proofErr w:type="spellEnd"/>
            <w:r>
              <w:rPr>
                <w:rFonts w:ascii="Times New Roman" w:hAnsi="Times New Roman"/>
              </w:rPr>
              <w:t xml:space="preserve">, </w:t>
            </w:r>
            <w:proofErr w:type="spellStart"/>
            <w:r>
              <w:rPr>
                <w:rFonts w:ascii="Times New Roman" w:hAnsi="Times New Roman"/>
              </w:rPr>
              <w:t>Ha”apai</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740C24" w:rsidRPr="006C35DB" w:rsidRDefault="00740C24" w:rsidP="00FC709A">
            <w:pPr>
              <w:spacing w:after="0" w:line="240" w:lineRule="auto"/>
              <w:jc w:val="center"/>
              <w:rPr>
                <w:rFonts w:ascii="Times New Roman" w:eastAsia="Calibri" w:hAnsi="Times New Roman" w:cs="Times New Roman"/>
              </w:rPr>
            </w:pPr>
            <w:r>
              <w:rPr>
                <w:rFonts w:ascii="Times New Roman" w:hAnsi="Times New Roman"/>
              </w:rPr>
              <w:t>80 %, 78 %, 62 %</w:t>
            </w:r>
          </w:p>
        </w:tc>
        <w:tc>
          <w:tcPr>
            <w:tcW w:w="2637" w:type="dxa"/>
            <w:tcBorders>
              <w:top w:val="single" w:sz="4" w:space="0" w:color="auto"/>
              <w:left w:val="single" w:sz="4" w:space="0" w:color="auto"/>
              <w:bottom w:val="single" w:sz="4" w:space="0" w:color="auto"/>
              <w:right w:val="single" w:sz="4" w:space="0" w:color="auto"/>
            </w:tcBorders>
            <w:shd w:val="clear" w:color="auto" w:fill="auto"/>
          </w:tcPr>
          <w:p w:rsidR="00740C24" w:rsidRPr="006C35DB" w:rsidRDefault="00740C24" w:rsidP="00FC709A">
            <w:pPr>
              <w:spacing w:after="0" w:line="240" w:lineRule="auto"/>
              <w:jc w:val="center"/>
              <w:rPr>
                <w:rFonts w:ascii="Times New Roman" w:eastAsia="Calibri" w:hAnsi="Times New Roman" w:cs="Times New Roman"/>
                <w:lang w:val="en-NZ" w:eastAsia="en-US"/>
              </w:rPr>
            </w:pPr>
          </w:p>
        </w:tc>
      </w:tr>
      <w:tr w:rsidR="00740C24" w:rsidRPr="006C35DB" w:rsidTr="00FC709A">
        <w:tc>
          <w:tcPr>
            <w:tcW w:w="3539" w:type="dxa"/>
            <w:tcBorders>
              <w:top w:val="single" w:sz="4" w:space="0" w:color="auto"/>
              <w:left w:val="single" w:sz="4" w:space="0" w:color="auto"/>
              <w:bottom w:val="single" w:sz="4" w:space="0" w:color="auto"/>
              <w:right w:val="single" w:sz="4" w:space="0" w:color="auto"/>
            </w:tcBorders>
            <w:shd w:val="clear" w:color="auto" w:fill="auto"/>
            <w:hideMark/>
          </w:tcPr>
          <w:p w:rsidR="00740C24" w:rsidRPr="00740C24" w:rsidRDefault="00740C24" w:rsidP="00FC709A">
            <w:pPr>
              <w:spacing w:after="0" w:line="240" w:lineRule="auto"/>
              <w:rPr>
                <w:rFonts w:ascii="Times New Roman" w:eastAsia="Calibri" w:hAnsi="Times New Roman" w:cs="Times New Roman"/>
              </w:rPr>
            </w:pPr>
            <w:r>
              <w:rPr>
                <w:rFonts w:ascii="Times New Roman" w:hAnsi="Times New Roman"/>
              </w:rPr>
              <w:t>FIDJI  CWM</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740C24" w:rsidRPr="006C35DB" w:rsidRDefault="00740C24" w:rsidP="00FC709A">
            <w:pPr>
              <w:spacing w:after="0" w:line="240" w:lineRule="auto"/>
              <w:jc w:val="center"/>
              <w:rPr>
                <w:rFonts w:ascii="Times New Roman" w:eastAsia="Calibri" w:hAnsi="Times New Roman" w:cs="Times New Roman"/>
              </w:rPr>
            </w:pPr>
            <w:r>
              <w:rPr>
                <w:rFonts w:ascii="Times New Roman" w:hAnsi="Times New Roman"/>
              </w:rPr>
              <w:t>88 % (2017)</w:t>
            </w:r>
          </w:p>
        </w:tc>
        <w:tc>
          <w:tcPr>
            <w:tcW w:w="2637" w:type="dxa"/>
            <w:tcBorders>
              <w:top w:val="single" w:sz="4" w:space="0" w:color="auto"/>
              <w:left w:val="single" w:sz="4" w:space="0" w:color="auto"/>
              <w:bottom w:val="single" w:sz="4" w:space="0" w:color="auto"/>
              <w:right w:val="single" w:sz="4" w:space="0" w:color="auto"/>
            </w:tcBorders>
            <w:shd w:val="clear" w:color="auto" w:fill="auto"/>
          </w:tcPr>
          <w:p w:rsidR="00740C24" w:rsidRPr="006C35DB" w:rsidRDefault="00740C24" w:rsidP="00FC709A">
            <w:pPr>
              <w:spacing w:after="0" w:line="240" w:lineRule="auto"/>
              <w:jc w:val="center"/>
              <w:rPr>
                <w:rFonts w:ascii="Times New Roman" w:eastAsia="Calibri" w:hAnsi="Times New Roman" w:cs="Times New Roman"/>
                <w:lang w:val="en-NZ" w:eastAsia="en-US"/>
              </w:rPr>
            </w:pPr>
          </w:p>
        </w:tc>
      </w:tr>
      <w:tr w:rsidR="00740C24" w:rsidRPr="006C35DB" w:rsidTr="00FC709A">
        <w:tc>
          <w:tcPr>
            <w:tcW w:w="3539" w:type="dxa"/>
            <w:tcBorders>
              <w:top w:val="single" w:sz="4" w:space="0" w:color="auto"/>
              <w:left w:val="single" w:sz="4" w:space="0" w:color="auto"/>
              <w:bottom w:val="single" w:sz="4" w:space="0" w:color="auto"/>
              <w:right w:val="single" w:sz="4" w:space="0" w:color="auto"/>
            </w:tcBorders>
            <w:shd w:val="clear" w:color="auto" w:fill="auto"/>
            <w:hideMark/>
          </w:tcPr>
          <w:p w:rsidR="00740C24" w:rsidRPr="00740C24" w:rsidRDefault="00740C24" w:rsidP="00FC709A">
            <w:pPr>
              <w:spacing w:after="0" w:line="240" w:lineRule="auto"/>
              <w:rPr>
                <w:rFonts w:ascii="Times New Roman" w:eastAsia="Calibri" w:hAnsi="Times New Roman" w:cs="Times New Roman"/>
              </w:rPr>
            </w:pPr>
            <w:r>
              <w:rPr>
                <w:rFonts w:ascii="Times New Roman" w:hAnsi="Times New Roman"/>
              </w:rPr>
              <w:t>FIDJI  Laboratoires provinciaux</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740C24" w:rsidRPr="006C35DB" w:rsidRDefault="00740C24" w:rsidP="00FC709A">
            <w:pPr>
              <w:spacing w:after="0" w:line="240" w:lineRule="auto"/>
              <w:jc w:val="center"/>
              <w:rPr>
                <w:rFonts w:ascii="Times New Roman" w:eastAsia="Calibri" w:hAnsi="Times New Roman" w:cs="Times New Roman"/>
              </w:rPr>
            </w:pPr>
            <w:r>
              <w:rPr>
                <w:rFonts w:ascii="Times New Roman" w:hAnsi="Times New Roman"/>
              </w:rPr>
              <w:t>&gt;90 %  Note collective</w:t>
            </w:r>
          </w:p>
        </w:tc>
        <w:tc>
          <w:tcPr>
            <w:tcW w:w="2637" w:type="dxa"/>
            <w:tcBorders>
              <w:top w:val="single" w:sz="4" w:space="0" w:color="auto"/>
              <w:left w:val="single" w:sz="4" w:space="0" w:color="auto"/>
              <w:bottom w:val="single" w:sz="4" w:space="0" w:color="auto"/>
              <w:right w:val="single" w:sz="4" w:space="0" w:color="auto"/>
            </w:tcBorders>
            <w:shd w:val="clear" w:color="auto" w:fill="auto"/>
          </w:tcPr>
          <w:p w:rsidR="00740C24" w:rsidRPr="006C35DB" w:rsidRDefault="00740C24" w:rsidP="00FC709A">
            <w:pPr>
              <w:spacing w:after="0" w:line="240" w:lineRule="auto"/>
              <w:jc w:val="center"/>
              <w:rPr>
                <w:rFonts w:ascii="Times New Roman" w:eastAsia="Calibri" w:hAnsi="Times New Roman" w:cs="Times New Roman"/>
                <w:lang w:val="en-NZ" w:eastAsia="en-US"/>
              </w:rPr>
            </w:pPr>
          </w:p>
        </w:tc>
      </w:tr>
      <w:tr w:rsidR="00740C24" w:rsidRPr="006C35DB" w:rsidTr="00FC709A">
        <w:tc>
          <w:tcPr>
            <w:tcW w:w="3539" w:type="dxa"/>
            <w:tcBorders>
              <w:top w:val="single" w:sz="4" w:space="0" w:color="auto"/>
              <w:left w:val="single" w:sz="4" w:space="0" w:color="auto"/>
              <w:bottom w:val="single" w:sz="4" w:space="0" w:color="auto"/>
              <w:right w:val="single" w:sz="4" w:space="0" w:color="auto"/>
            </w:tcBorders>
            <w:shd w:val="clear" w:color="auto" w:fill="auto"/>
          </w:tcPr>
          <w:p w:rsidR="00740C24" w:rsidRPr="006C35DB" w:rsidRDefault="00740C24" w:rsidP="00FC709A">
            <w:pPr>
              <w:spacing w:after="0" w:line="240" w:lineRule="auto"/>
              <w:ind w:firstLine="176"/>
              <w:rPr>
                <w:rFonts w:ascii="Times New Roman" w:eastAsia="Calibri" w:hAnsi="Times New Roman" w:cs="Times New Roman"/>
              </w:rPr>
            </w:pPr>
            <w:proofErr w:type="spellStart"/>
            <w:r>
              <w:rPr>
                <w:rFonts w:ascii="Times New Roman" w:hAnsi="Times New Roman"/>
              </w:rPr>
              <w:t>Labasa</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740C24" w:rsidRPr="006C35DB" w:rsidRDefault="00740C24" w:rsidP="00FC709A">
            <w:pPr>
              <w:spacing w:after="0" w:line="240" w:lineRule="auto"/>
              <w:jc w:val="center"/>
              <w:rPr>
                <w:rFonts w:ascii="Times New Roman" w:eastAsia="Calibri" w:hAnsi="Times New Roman" w:cs="Times New Roman"/>
              </w:rPr>
            </w:pPr>
            <w:r>
              <w:rPr>
                <w:rFonts w:ascii="Times New Roman" w:hAnsi="Times New Roman"/>
              </w:rPr>
              <w:t>94 % en 2017</w:t>
            </w:r>
          </w:p>
        </w:tc>
        <w:tc>
          <w:tcPr>
            <w:tcW w:w="2637" w:type="dxa"/>
            <w:tcBorders>
              <w:top w:val="single" w:sz="4" w:space="0" w:color="auto"/>
              <w:left w:val="single" w:sz="4" w:space="0" w:color="auto"/>
              <w:bottom w:val="single" w:sz="4" w:space="0" w:color="auto"/>
              <w:right w:val="single" w:sz="4" w:space="0" w:color="auto"/>
            </w:tcBorders>
            <w:shd w:val="clear" w:color="auto" w:fill="auto"/>
          </w:tcPr>
          <w:p w:rsidR="00740C24" w:rsidRPr="006C35DB" w:rsidRDefault="00740C24" w:rsidP="00FC709A">
            <w:pPr>
              <w:spacing w:after="0" w:line="240" w:lineRule="auto"/>
              <w:jc w:val="center"/>
              <w:rPr>
                <w:rFonts w:ascii="Times New Roman" w:eastAsia="Calibri" w:hAnsi="Times New Roman" w:cs="Times New Roman"/>
                <w:lang w:val="en-NZ" w:eastAsia="en-US"/>
              </w:rPr>
            </w:pPr>
          </w:p>
        </w:tc>
      </w:tr>
      <w:tr w:rsidR="00740C24" w:rsidRPr="006C35DB" w:rsidTr="00FC709A">
        <w:tc>
          <w:tcPr>
            <w:tcW w:w="3539" w:type="dxa"/>
            <w:tcBorders>
              <w:top w:val="single" w:sz="4" w:space="0" w:color="auto"/>
              <w:left w:val="single" w:sz="4" w:space="0" w:color="auto"/>
              <w:bottom w:val="single" w:sz="4" w:space="0" w:color="auto"/>
              <w:right w:val="single" w:sz="4" w:space="0" w:color="auto"/>
            </w:tcBorders>
            <w:shd w:val="clear" w:color="auto" w:fill="auto"/>
          </w:tcPr>
          <w:p w:rsidR="00740C24" w:rsidRPr="006C35DB" w:rsidRDefault="00740C24" w:rsidP="00FC709A">
            <w:pPr>
              <w:spacing w:after="0" w:line="240" w:lineRule="auto"/>
              <w:ind w:firstLine="176"/>
              <w:rPr>
                <w:rFonts w:ascii="Times New Roman" w:eastAsia="Calibri" w:hAnsi="Times New Roman" w:cs="Times New Roman"/>
              </w:rPr>
            </w:pPr>
            <w:proofErr w:type="spellStart"/>
            <w:r>
              <w:rPr>
                <w:rFonts w:ascii="Times New Roman" w:hAnsi="Times New Roman"/>
              </w:rPr>
              <w:t>Savusavu</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740C24" w:rsidRPr="006C35DB" w:rsidRDefault="00740C24" w:rsidP="00FC709A">
            <w:pPr>
              <w:spacing w:after="0" w:line="240" w:lineRule="auto"/>
              <w:jc w:val="center"/>
              <w:rPr>
                <w:rFonts w:ascii="Times New Roman" w:eastAsia="Calibri" w:hAnsi="Times New Roman" w:cs="Times New Roman"/>
              </w:rPr>
            </w:pPr>
            <w:r>
              <w:rPr>
                <w:rFonts w:ascii="Times New Roman" w:hAnsi="Times New Roman"/>
              </w:rPr>
              <w:t>95 % en 2017</w:t>
            </w:r>
          </w:p>
        </w:tc>
        <w:tc>
          <w:tcPr>
            <w:tcW w:w="2637" w:type="dxa"/>
            <w:tcBorders>
              <w:top w:val="single" w:sz="4" w:space="0" w:color="auto"/>
              <w:left w:val="single" w:sz="4" w:space="0" w:color="auto"/>
              <w:bottom w:val="single" w:sz="4" w:space="0" w:color="auto"/>
              <w:right w:val="single" w:sz="4" w:space="0" w:color="auto"/>
            </w:tcBorders>
            <w:shd w:val="clear" w:color="auto" w:fill="auto"/>
          </w:tcPr>
          <w:p w:rsidR="00740C24" w:rsidRPr="006C35DB" w:rsidRDefault="00740C24" w:rsidP="00FC709A">
            <w:pPr>
              <w:spacing w:after="0" w:line="240" w:lineRule="auto"/>
              <w:jc w:val="center"/>
              <w:rPr>
                <w:rFonts w:ascii="Times New Roman" w:eastAsia="Calibri" w:hAnsi="Times New Roman" w:cs="Times New Roman"/>
                <w:lang w:val="en-NZ" w:eastAsia="en-US"/>
              </w:rPr>
            </w:pPr>
          </w:p>
        </w:tc>
      </w:tr>
      <w:tr w:rsidR="00740C24" w:rsidRPr="006C35DB" w:rsidTr="00FC709A">
        <w:tc>
          <w:tcPr>
            <w:tcW w:w="3539" w:type="dxa"/>
            <w:tcBorders>
              <w:top w:val="single" w:sz="4" w:space="0" w:color="auto"/>
              <w:left w:val="single" w:sz="4" w:space="0" w:color="auto"/>
              <w:bottom w:val="single" w:sz="4" w:space="0" w:color="auto"/>
              <w:right w:val="single" w:sz="4" w:space="0" w:color="auto"/>
            </w:tcBorders>
            <w:shd w:val="clear" w:color="auto" w:fill="auto"/>
          </w:tcPr>
          <w:p w:rsidR="00740C24" w:rsidRPr="006C35DB" w:rsidRDefault="00740C24" w:rsidP="00FC709A">
            <w:pPr>
              <w:spacing w:after="0" w:line="240" w:lineRule="auto"/>
              <w:ind w:firstLine="176"/>
              <w:rPr>
                <w:rFonts w:ascii="Times New Roman" w:eastAsia="Calibri" w:hAnsi="Times New Roman" w:cs="Times New Roman"/>
              </w:rPr>
            </w:pPr>
            <w:proofErr w:type="spellStart"/>
            <w:r>
              <w:rPr>
                <w:rFonts w:ascii="Times New Roman" w:hAnsi="Times New Roman"/>
              </w:rPr>
              <w:t>Seaqaga</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740C24" w:rsidRPr="006C35DB" w:rsidRDefault="00740C24" w:rsidP="00FC709A">
            <w:pPr>
              <w:spacing w:after="0" w:line="240" w:lineRule="auto"/>
              <w:jc w:val="center"/>
              <w:rPr>
                <w:rFonts w:ascii="Times New Roman" w:eastAsia="Calibri" w:hAnsi="Times New Roman" w:cs="Times New Roman"/>
              </w:rPr>
            </w:pPr>
            <w:r>
              <w:rPr>
                <w:rFonts w:ascii="Times New Roman" w:hAnsi="Times New Roman"/>
              </w:rPr>
              <w:t>93 % en 2017</w:t>
            </w:r>
          </w:p>
        </w:tc>
        <w:tc>
          <w:tcPr>
            <w:tcW w:w="2637" w:type="dxa"/>
            <w:tcBorders>
              <w:top w:val="single" w:sz="4" w:space="0" w:color="auto"/>
              <w:left w:val="single" w:sz="4" w:space="0" w:color="auto"/>
              <w:bottom w:val="single" w:sz="4" w:space="0" w:color="auto"/>
              <w:right w:val="single" w:sz="4" w:space="0" w:color="auto"/>
            </w:tcBorders>
            <w:shd w:val="clear" w:color="auto" w:fill="auto"/>
          </w:tcPr>
          <w:p w:rsidR="00740C24" w:rsidRPr="006C35DB" w:rsidRDefault="00740C24" w:rsidP="00FC709A">
            <w:pPr>
              <w:spacing w:after="0" w:line="240" w:lineRule="auto"/>
              <w:jc w:val="center"/>
              <w:rPr>
                <w:rFonts w:ascii="Times New Roman" w:eastAsia="Calibri" w:hAnsi="Times New Roman" w:cs="Times New Roman"/>
                <w:lang w:val="en-NZ" w:eastAsia="en-US"/>
              </w:rPr>
            </w:pPr>
          </w:p>
        </w:tc>
      </w:tr>
      <w:tr w:rsidR="00740C24" w:rsidRPr="006C35DB" w:rsidTr="00FC709A">
        <w:tc>
          <w:tcPr>
            <w:tcW w:w="3539" w:type="dxa"/>
            <w:tcBorders>
              <w:top w:val="single" w:sz="4" w:space="0" w:color="auto"/>
              <w:left w:val="single" w:sz="4" w:space="0" w:color="auto"/>
              <w:bottom w:val="single" w:sz="4" w:space="0" w:color="auto"/>
              <w:right w:val="single" w:sz="4" w:space="0" w:color="auto"/>
            </w:tcBorders>
            <w:shd w:val="clear" w:color="auto" w:fill="auto"/>
          </w:tcPr>
          <w:p w:rsidR="00740C24" w:rsidRPr="006C35DB" w:rsidRDefault="00740C24" w:rsidP="00FC709A">
            <w:pPr>
              <w:spacing w:after="0" w:line="240" w:lineRule="auto"/>
              <w:ind w:firstLine="176"/>
              <w:rPr>
                <w:rFonts w:ascii="Times New Roman" w:eastAsia="Calibri" w:hAnsi="Times New Roman" w:cs="Times New Roman"/>
              </w:rPr>
            </w:pPr>
            <w:proofErr w:type="spellStart"/>
            <w:r>
              <w:rPr>
                <w:rFonts w:ascii="Times New Roman" w:hAnsi="Times New Roman"/>
              </w:rPr>
              <w:t>Nabouwalu</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740C24" w:rsidRPr="006C35DB" w:rsidRDefault="00740C24" w:rsidP="00FC709A">
            <w:pPr>
              <w:spacing w:after="0" w:line="240" w:lineRule="auto"/>
              <w:jc w:val="center"/>
              <w:rPr>
                <w:rFonts w:ascii="Times New Roman" w:eastAsia="Calibri" w:hAnsi="Times New Roman" w:cs="Times New Roman"/>
              </w:rPr>
            </w:pPr>
            <w:r>
              <w:rPr>
                <w:rFonts w:ascii="Times New Roman" w:hAnsi="Times New Roman"/>
              </w:rPr>
              <w:t>92 % en 2017</w:t>
            </w:r>
          </w:p>
        </w:tc>
        <w:tc>
          <w:tcPr>
            <w:tcW w:w="2637" w:type="dxa"/>
            <w:tcBorders>
              <w:top w:val="single" w:sz="4" w:space="0" w:color="auto"/>
              <w:left w:val="single" w:sz="4" w:space="0" w:color="auto"/>
              <w:bottom w:val="single" w:sz="4" w:space="0" w:color="auto"/>
              <w:right w:val="single" w:sz="4" w:space="0" w:color="auto"/>
            </w:tcBorders>
            <w:shd w:val="clear" w:color="auto" w:fill="auto"/>
          </w:tcPr>
          <w:p w:rsidR="00740C24" w:rsidRPr="006C35DB" w:rsidRDefault="00740C24" w:rsidP="00FC709A">
            <w:pPr>
              <w:spacing w:after="0" w:line="240" w:lineRule="auto"/>
              <w:jc w:val="center"/>
              <w:rPr>
                <w:rFonts w:ascii="Times New Roman" w:eastAsia="Calibri" w:hAnsi="Times New Roman" w:cs="Times New Roman"/>
                <w:lang w:val="en-NZ" w:eastAsia="en-US"/>
              </w:rPr>
            </w:pPr>
          </w:p>
        </w:tc>
      </w:tr>
      <w:tr w:rsidR="00740C24" w:rsidRPr="006C35DB" w:rsidTr="00FC709A">
        <w:tc>
          <w:tcPr>
            <w:tcW w:w="3539" w:type="dxa"/>
            <w:tcBorders>
              <w:top w:val="single" w:sz="4" w:space="0" w:color="auto"/>
              <w:left w:val="single" w:sz="4" w:space="0" w:color="auto"/>
              <w:bottom w:val="single" w:sz="4" w:space="0" w:color="auto"/>
              <w:right w:val="single" w:sz="4" w:space="0" w:color="auto"/>
            </w:tcBorders>
            <w:shd w:val="clear" w:color="auto" w:fill="auto"/>
          </w:tcPr>
          <w:p w:rsidR="00740C24" w:rsidRPr="006C35DB" w:rsidRDefault="00740C24" w:rsidP="00FC709A">
            <w:pPr>
              <w:spacing w:after="0" w:line="240" w:lineRule="auto"/>
              <w:ind w:firstLine="176"/>
              <w:rPr>
                <w:rFonts w:ascii="Times New Roman" w:eastAsia="Calibri" w:hAnsi="Times New Roman" w:cs="Times New Roman"/>
              </w:rPr>
            </w:pPr>
            <w:r>
              <w:rPr>
                <w:rFonts w:ascii="Times New Roman" w:hAnsi="Times New Roman"/>
              </w:rPr>
              <w:t>Taveuni</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740C24" w:rsidRPr="006C35DB" w:rsidRDefault="00740C24" w:rsidP="00FC709A">
            <w:pPr>
              <w:spacing w:after="0" w:line="240" w:lineRule="auto"/>
              <w:jc w:val="center"/>
              <w:rPr>
                <w:rFonts w:ascii="Times New Roman" w:eastAsia="Calibri" w:hAnsi="Times New Roman" w:cs="Times New Roman"/>
              </w:rPr>
            </w:pPr>
            <w:r>
              <w:rPr>
                <w:rFonts w:ascii="Times New Roman" w:hAnsi="Times New Roman"/>
              </w:rPr>
              <w:t>90 % en 2017</w:t>
            </w:r>
          </w:p>
        </w:tc>
        <w:tc>
          <w:tcPr>
            <w:tcW w:w="2637" w:type="dxa"/>
            <w:tcBorders>
              <w:top w:val="single" w:sz="4" w:space="0" w:color="auto"/>
              <w:left w:val="single" w:sz="4" w:space="0" w:color="auto"/>
              <w:bottom w:val="single" w:sz="4" w:space="0" w:color="auto"/>
              <w:right w:val="single" w:sz="4" w:space="0" w:color="auto"/>
            </w:tcBorders>
            <w:shd w:val="clear" w:color="auto" w:fill="auto"/>
          </w:tcPr>
          <w:p w:rsidR="00740C24" w:rsidRPr="006C35DB" w:rsidRDefault="00740C24" w:rsidP="00FC709A">
            <w:pPr>
              <w:spacing w:after="0" w:line="240" w:lineRule="auto"/>
              <w:jc w:val="center"/>
              <w:rPr>
                <w:rFonts w:ascii="Times New Roman" w:eastAsia="Calibri" w:hAnsi="Times New Roman" w:cs="Times New Roman"/>
                <w:lang w:val="en-NZ" w:eastAsia="en-US"/>
              </w:rPr>
            </w:pPr>
          </w:p>
        </w:tc>
      </w:tr>
      <w:tr w:rsidR="00740C24" w:rsidRPr="006C35DB" w:rsidTr="00FC709A">
        <w:tc>
          <w:tcPr>
            <w:tcW w:w="3539" w:type="dxa"/>
            <w:tcBorders>
              <w:top w:val="single" w:sz="4" w:space="0" w:color="auto"/>
              <w:left w:val="single" w:sz="4" w:space="0" w:color="auto"/>
              <w:bottom w:val="single" w:sz="4" w:space="0" w:color="auto"/>
              <w:right w:val="single" w:sz="4" w:space="0" w:color="auto"/>
            </w:tcBorders>
            <w:shd w:val="clear" w:color="auto" w:fill="auto"/>
          </w:tcPr>
          <w:p w:rsidR="00740C24" w:rsidRPr="00740C24" w:rsidRDefault="00740C24" w:rsidP="00FC709A">
            <w:pPr>
              <w:spacing w:after="0" w:line="240" w:lineRule="auto"/>
              <w:rPr>
                <w:rFonts w:ascii="Times New Roman" w:eastAsia="Calibri" w:hAnsi="Times New Roman" w:cs="Times New Roman"/>
              </w:rPr>
            </w:pPr>
            <w:r>
              <w:rPr>
                <w:rFonts w:ascii="Times New Roman" w:hAnsi="Times New Roman"/>
              </w:rPr>
              <w:t xml:space="preserve">FIDJI  </w:t>
            </w:r>
            <w:proofErr w:type="spellStart"/>
            <w:r>
              <w:rPr>
                <w:rFonts w:ascii="Times New Roman" w:hAnsi="Times New Roman"/>
              </w:rPr>
              <w:t>Mataika</w:t>
            </w:r>
            <w:proofErr w:type="spellEnd"/>
            <w:r>
              <w:rPr>
                <w:rFonts w:ascii="Times New Roman" w:hAnsi="Times New Roman"/>
              </w:rPr>
              <w:t xml:space="preserve"> House</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740C24" w:rsidRPr="006C35DB" w:rsidRDefault="00740C24" w:rsidP="00FC709A">
            <w:pPr>
              <w:spacing w:after="0" w:line="240" w:lineRule="auto"/>
              <w:jc w:val="center"/>
              <w:rPr>
                <w:rFonts w:ascii="Times New Roman" w:eastAsia="Calibri" w:hAnsi="Times New Roman" w:cs="Times New Roman"/>
              </w:rPr>
            </w:pPr>
            <w:r>
              <w:rPr>
                <w:rFonts w:ascii="Times New Roman" w:hAnsi="Times New Roman"/>
              </w:rPr>
              <w:t>95 % en 2018</w:t>
            </w:r>
          </w:p>
        </w:tc>
        <w:tc>
          <w:tcPr>
            <w:tcW w:w="2637" w:type="dxa"/>
            <w:tcBorders>
              <w:top w:val="single" w:sz="4" w:space="0" w:color="auto"/>
              <w:left w:val="single" w:sz="4" w:space="0" w:color="auto"/>
              <w:bottom w:val="single" w:sz="4" w:space="0" w:color="auto"/>
              <w:right w:val="single" w:sz="4" w:space="0" w:color="auto"/>
            </w:tcBorders>
            <w:shd w:val="clear" w:color="auto" w:fill="auto"/>
          </w:tcPr>
          <w:p w:rsidR="00740C24" w:rsidRPr="006C35DB" w:rsidRDefault="00740C24" w:rsidP="00FC709A">
            <w:pPr>
              <w:spacing w:after="0" w:line="240" w:lineRule="auto"/>
              <w:jc w:val="center"/>
              <w:rPr>
                <w:rFonts w:ascii="Times New Roman" w:eastAsia="Calibri" w:hAnsi="Times New Roman" w:cs="Times New Roman"/>
              </w:rPr>
            </w:pPr>
            <w:r>
              <w:rPr>
                <w:rFonts w:ascii="Times New Roman" w:hAnsi="Times New Roman"/>
              </w:rPr>
              <w:t>45 % (2018)</w:t>
            </w:r>
          </w:p>
        </w:tc>
      </w:tr>
      <w:tr w:rsidR="00740C24" w:rsidRPr="006C35DB" w:rsidTr="00FC709A">
        <w:tc>
          <w:tcPr>
            <w:tcW w:w="3539" w:type="dxa"/>
            <w:tcBorders>
              <w:top w:val="single" w:sz="4" w:space="0" w:color="auto"/>
              <w:left w:val="single" w:sz="4" w:space="0" w:color="auto"/>
              <w:bottom w:val="single" w:sz="4" w:space="0" w:color="auto"/>
              <w:right w:val="single" w:sz="4" w:space="0" w:color="auto"/>
            </w:tcBorders>
            <w:shd w:val="clear" w:color="auto" w:fill="auto"/>
            <w:hideMark/>
          </w:tcPr>
          <w:p w:rsidR="00740C24" w:rsidRPr="00740C24" w:rsidRDefault="00740C24" w:rsidP="00FC709A">
            <w:pPr>
              <w:spacing w:after="0" w:line="240" w:lineRule="auto"/>
              <w:rPr>
                <w:rFonts w:ascii="Times New Roman" w:eastAsia="Calibri" w:hAnsi="Times New Roman" w:cs="Times New Roman"/>
              </w:rPr>
            </w:pPr>
            <w:r>
              <w:rPr>
                <w:rFonts w:ascii="Times New Roman" w:hAnsi="Times New Roman"/>
              </w:rPr>
              <w:t>FIDJI  Laboratoires privés</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740C24" w:rsidRPr="006C35DB" w:rsidRDefault="00740C24" w:rsidP="00FC709A">
            <w:pPr>
              <w:spacing w:after="0" w:line="240" w:lineRule="auto"/>
              <w:jc w:val="center"/>
              <w:rPr>
                <w:rFonts w:ascii="Times New Roman" w:eastAsia="Calibri" w:hAnsi="Times New Roman" w:cs="Times New Roman"/>
              </w:rPr>
            </w:pPr>
            <w:r>
              <w:rPr>
                <w:rFonts w:ascii="Times New Roman" w:hAnsi="Times New Roman"/>
              </w:rPr>
              <w:t>&gt;90 %  Note collective</w:t>
            </w:r>
          </w:p>
        </w:tc>
        <w:tc>
          <w:tcPr>
            <w:tcW w:w="2637" w:type="dxa"/>
            <w:tcBorders>
              <w:top w:val="single" w:sz="4" w:space="0" w:color="auto"/>
              <w:left w:val="single" w:sz="4" w:space="0" w:color="auto"/>
              <w:bottom w:val="single" w:sz="4" w:space="0" w:color="auto"/>
              <w:right w:val="single" w:sz="4" w:space="0" w:color="auto"/>
            </w:tcBorders>
            <w:shd w:val="clear" w:color="auto" w:fill="auto"/>
          </w:tcPr>
          <w:p w:rsidR="00740C24" w:rsidRPr="006C35DB" w:rsidRDefault="00740C24" w:rsidP="00FC709A">
            <w:pPr>
              <w:spacing w:after="0" w:line="240" w:lineRule="auto"/>
              <w:jc w:val="center"/>
              <w:rPr>
                <w:rFonts w:ascii="Times New Roman" w:eastAsia="Calibri" w:hAnsi="Times New Roman" w:cs="Times New Roman"/>
                <w:lang w:val="en-NZ" w:eastAsia="en-US"/>
              </w:rPr>
            </w:pPr>
          </w:p>
        </w:tc>
      </w:tr>
      <w:tr w:rsidR="00740C24" w:rsidRPr="006C35DB" w:rsidTr="00FC709A">
        <w:tc>
          <w:tcPr>
            <w:tcW w:w="3539" w:type="dxa"/>
            <w:tcBorders>
              <w:top w:val="single" w:sz="4" w:space="0" w:color="auto"/>
              <w:left w:val="single" w:sz="4" w:space="0" w:color="auto"/>
              <w:bottom w:val="single" w:sz="4" w:space="0" w:color="auto"/>
              <w:right w:val="single" w:sz="4" w:space="0" w:color="auto"/>
            </w:tcBorders>
            <w:shd w:val="clear" w:color="auto" w:fill="auto"/>
            <w:hideMark/>
          </w:tcPr>
          <w:p w:rsidR="00740C24" w:rsidRPr="00740C24" w:rsidRDefault="00740C24" w:rsidP="00FC709A">
            <w:pPr>
              <w:spacing w:after="0" w:line="240" w:lineRule="auto"/>
              <w:rPr>
                <w:rFonts w:ascii="Times New Roman" w:eastAsia="Calibri" w:hAnsi="Times New Roman" w:cs="Times New Roman"/>
              </w:rPr>
            </w:pPr>
            <w:r>
              <w:rPr>
                <w:rFonts w:ascii="Times New Roman" w:hAnsi="Times New Roman"/>
              </w:rPr>
              <w:t>SAMOA  TTM</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740C24" w:rsidRPr="006C35DB" w:rsidRDefault="00740C24" w:rsidP="00FC709A">
            <w:pPr>
              <w:spacing w:after="0" w:line="240" w:lineRule="auto"/>
              <w:jc w:val="center"/>
              <w:rPr>
                <w:rFonts w:ascii="Times New Roman" w:eastAsia="Calibri" w:hAnsi="Times New Roman" w:cs="Times New Roman"/>
                <w:lang w:val="en-NZ" w:eastAsia="en-US"/>
              </w:rPr>
            </w:pPr>
          </w:p>
        </w:tc>
        <w:tc>
          <w:tcPr>
            <w:tcW w:w="2637" w:type="dxa"/>
            <w:tcBorders>
              <w:top w:val="single" w:sz="4" w:space="0" w:color="auto"/>
              <w:left w:val="single" w:sz="4" w:space="0" w:color="auto"/>
              <w:bottom w:val="single" w:sz="4" w:space="0" w:color="auto"/>
              <w:right w:val="single" w:sz="4" w:space="0" w:color="auto"/>
            </w:tcBorders>
            <w:shd w:val="clear" w:color="auto" w:fill="auto"/>
            <w:hideMark/>
          </w:tcPr>
          <w:p w:rsidR="00740C24" w:rsidRPr="006C35DB" w:rsidRDefault="00740C24" w:rsidP="00FC709A">
            <w:pPr>
              <w:spacing w:after="0" w:line="240" w:lineRule="auto"/>
              <w:jc w:val="center"/>
              <w:rPr>
                <w:rFonts w:ascii="Times New Roman" w:eastAsia="Calibri" w:hAnsi="Times New Roman" w:cs="Times New Roman"/>
              </w:rPr>
            </w:pPr>
            <w:r>
              <w:rPr>
                <w:rFonts w:ascii="Times New Roman" w:hAnsi="Times New Roman"/>
              </w:rPr>
              <w:t>84,5 % (2018)</w:t>
            </w:r>
          </w:p>
        </w:tc>
      </w:tr>
      <w:tr w:rsidR="00740C24" w:rsidRPr="006C35DB" w:rsidTr="00FC709A">
        <w:tc>
          <w:tcPr>
            <w:tcW w:w="3539" w:type="dxa"/>
            <w:tcBorders>
              <w:top w:val="single" w:sz="4" w:space="0" w:color="auto"/>
              <w:left w:val="single" w:sz="4" w:space="0" w:color="auto"/>
              <w:bottom w:val="single" w:sz="4" w:space="0" w:color="auto"/>
              <w:right w:val="single" w:sz="4" w:space="0" w:color="auto"/>
            </w:tcBorders>
            <w:shd w:val="clear" w:color="auto" w:fill="auto"/>
            <w:hideMark/>
          </w:tcPr>
          <w:p w:rsidR="00740C24" w:rsidRPr="00740C24" w:rsidRDefault="00740C24" w:rsidP="00FC709A">
            <w:pPr>
              <w:spacing w:after="0" w:line="240" w:lineRule="auto"/>
              <w:rPr>
                <w:rFonts w:ascii="Times New Roman" w:eastAsia="Calibri" w:hAnsi="Times New Roman" w:cs="Times New Roman"/>
              </w:rPr>
            </w:pPr>
            <w:r>
              <w:rPr>
                <w:rFonts w:ascii="Times New Roman" w:hAnsi="Times New Roman"/>
              </w:rPr>
              <w:t>SAMOA  Laboratoires provinciaux</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740C24" w:rsidRPr="006C35DB" w:rsidRDefault="00740C24" w:rsidP="00FC709A">
            <w:pPr>
              <w:spacing w:after="0" w:line="240" w:lineRule="auto"/>
              <w:jc w:val="center"/>
              <w:rPr>
                <w:rFonts w:ascii="Times New Roman" w:eastAsia="Calibri" w:hAnsi="Times New Roman" w:cs="Times New Roman"/>
              </w:rPr>
            </w:pPr>
            <w:r>
              <w:rPr>
                <w:rFonts w:ascii="Times New Roman" w:hAnsi="Times New Roman"/>
              </w:rPr>
              <w:t>82 % en 2019</w:t>
            </w:r>
          </w:p>
        </w:tc>
        <w:tc>
          <w:tcPr>
            <w:tcW w:w="2637" w:type="dxa"/>
            <w:tcBorders>
              <w:top w:val="single" w:sz="4" w:space="0" w:color="auto"/>
              <w:left w:val="single" w:sz="4" w:space="0" w:color="auto"/>
              <w:bottom w:val="single" w:sz="4" w:space="0" w:color="auto"/>
              <w:right w:val="single" w:sz="4" w:space="0" w:color="auto"/>
            </w:tcBorders>
            <w:shd w:val="clear" w:color="auto" w:fill="auto"/>
          </w:tcPr>
          <w:p w:rsidR="00740C24" w:rsidRPr="006C35DB" w:rsidRDefault="00740C24" w:rsidP="00FC709A">
            <w:pPr>
              <w:spacing w:after="0" w:line="240" w:lineRule="auto"/>
              <w:jc w:val="center"/>
              <w:rPr>
                <w:rFonts w:ascii="Times New Roman" w:eastAsia="Calibri" w:hAnsi="Times New Roman" w:cs="Times New Roman"/>
                <w:lang w:val="en-NZ" w:eastAsia="en-US"/>
              </w:rPr>
            </w:pPr>
          </w:p>
        </w:tc>
      </w:tr>
      <w:tr w:rsidR="00740C24" w:rsidRPr="006C35DB" w:rsidTr="00FC709A">
        <w:tc>
          <w:tcPr>
            <w:tcW w:w="3539" w:type="dxa"/>
            <w:tcBorders>
              <w:top w:val="single" w:sz="4" w:space="0" w:color="auto"/>
              <w:left w:val="single" w:sz="4" w:space="0" w:color="auto"/>
              <w:bottom w:val="single" w:sz="4" w:space="0" w:color="auto"/>
              <w:right w:val="single" w:sz="4" w:space="0" w:color="auto"/>
            </w:tcBorders>
            <w:shd w:val="clear" w:color="auto" w:fill="auto"/>
            <w:hideMark/>
          </w:tcPr>
          <w:p w:rsidR="00740C24" w:rsidRPr="00740C24" w:rsidRDefault="00740C24" w:rsidP="00FC709A">
            <w:pPr>
              <w:spacing w:after="0" w:line="240" w:lineRule="auto"/>
              <w:rPr>
                <w:rFonts w:ascii="Times New Roman" w:eastAsia="Calibri" w:hAnsi="Times New Roman" w:cs="Times New Roman"/>
              </w:rPr>
            </w:pPr>
            <w:r>
              <w:rPr>
                <w:rFonts w:ascii="Times New Roman" w:hAnsi="Times New Roman"/>
              </w:rPr>
              <w:t>VANUATU  VCH</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740C24" w:rsidRPr="006C35DB" w:rsidRDefault="00740C24" w:rsidP="00FC709A">
            <w:pPr>
              <w:spacing w:after="0" w:line="240" w:lineRule="auto"/>
              <w:jc w:val="center"/>
              <w:rPr>
                <w:rFonts w:ascii="Times New Roman" w:eastAsia="Calibri" w:hAnsi="Times New Roman" w:cs="Times New Roman"/>
                <w:lang w:val="en-NZ" w:eastAsia="en-US"/>
              </w:rPr>
            </w:pPr>
          </w:p>
        </w:tc>
        <w:tc>
          <w:tcPr>
            <w:tcW w:w="2637" w:type="dxa"/>
            <w:tcBorders>
              <w:top w:val="single" w:sz="4" w:space="0" w:color="auto"/>
              <w:left w:val="single" w:sz="4" w:space="0" w:color="auto"/>
              <w:bottom w:val="single" w:sz="4" w:space="0" w:color="auto"/>
              <w:right w:val="single" w:sz="4" w:space="0" w:color="auto"/>
            </w:tcBorders>
            <w:shd w:val="clear" w:color="auto" w:fill="auto"/>
            <w:hideMark/>
          </w:tcPr>
          <w:p w:rsidR="00740C24" w:rsidRPr="006C35DB" w:rsidRDefault="00740C24" w:rsidP="00FC709A">
            <w:pPr>
              <w:spacing w:after="0" w:line="240" w:lineRule="auto"/>
              <w:jc w:val="center"/>
              <w:rPr>
                <w:rFonts w:ascii="Times New Roman" w:eastAsia="Calibri" w:hAnsi="Times New Roman" w:cs="Times New Roman"/>
              </w:rPr>
            </w:pPr>
            <w:r>
              <w:rPr>
                <w:rFonts w:ascii="Times New Roman" w:hAnsi="Times New Roman"/>
              </w:rPr>
              <w:t>89 % (2018)</w:t>
            </w:r>
          </w:p>
        </w:tc>
      </w:tr>
      <w:tr w:rsidR="00740C24" w:rsidRPr="006C35DB" w:rsidTr="00FC709A">
        <w:tc>
          <w:tcPr>
            <w:tcW w:w="3539" w:type="dxa"/>
            <w:tcBorders>
              <w:top w:val="single" w:sz="4" w:space="0" w:color="auto"/>
              <w:left w:val="single" w:sz="4" w:space="0" w:color="auto"/>
              <w:bottom w:val="single" w:sz="4" w:space="0" w:color="auto"/>
              <w:right w:val="single" w:sz="4" w:space="0" w:color="auto"/>
            </w:tcBorders>
            <w:shd w:val="clear" w:color="auto" w:fill="auto"/>
            <w:hideMark/>
          </w:tcPr>
          <w:p w:rsidR="00740C24" w:rsidRPr="00740C24" w:rsidRDefault="00740C24" w:rsidP="00FC709A">
            <w:pPr>
              <w:spacing w:after="0" w:line="240" w:lineRule="auto"/>
              <w:rPr>
                <w:rFonts w:ascii="Times New Roman" w:eastAsia="Calibri" w:hAnsi="Times New Roman" w:cs="Times New Roman"/>
              </w:rPr>
            </w:pPr>
            <w:r>
              <w:rPr>
                <w:rFonts w:ascii="Times New Roman" w:hAnsi="Times New Roman"/>
              </w:rPr>
              <w:t xml:space="preserve">VANUATU </w:t>
            </w:r>
            <w:r w:rsidR="00B627C2">
              <w:rPr>
                <w:rFonts w:ascii="Times New Roman" w:hAnsi="Times New Roman"/>
              </w:rPr>
              <w:t xml:space="preserve"> </w:t>
            </w:r>
            <w:r>
              <w:rPr>
                <w:rFonts w:ascii="Times New Roman" w:hAnsi="Times New Roman"/>
              </w:rPr>
              <w:t>Laboratoires provinciaux</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740C24" w:rsidRPr="006C35DB" w:rsidRDefault="00740C24" w:rsidP="00FC709A">
            <w:pPr>
              <w:spacing w:after="0" w:line="240" w:lineRule="auto"/>
              <w:jc w:val="center"/>
              <w:rPr>
                <w:rFonts w:ascii="Times New Roman" w:eastAsia="Calibri" w:hAnsi="Times New Roman" w:cs="Times New Roman"/>
              </w:rPr>
            </w:pPr>
            <w:r>
              <w:rPr>
                <w:rFonts w:ascii="Times New Roman" w:hAnsi="Times New Roman"/>
              </w:rPr>
              <w:t>69 % en 2019</w:t>
            </w:r>
          </w:p>
        </w:tc>
        <w:tc>
          <w:tcPr>
            <w:tcW w:w="2637" w:type="dxa"/>
            <w:tcBorders>
              <w:top w:val="single" w:sz="4" w:space="0" w:color="auto"/>
              <w:left w:val="single" w:sz="4" w:space="0" w:color="auto"/>
              <w:bottom w:val="single" w:sz="4" w:space="0" w:color="auto"/>
              <w:right w:val="single" w:sz="4" w:space="0" w:color="auto"/>
            </w:tcBorders>
            <w:shd w:val="clear" w:color="auto" w:fill="auto"/>
          </w:tcPr>
          <w:p w:rsidR="00740C24" w:rsidRPr="006C35DB" w:rsidRDefault="00740C24" w:rsidP="00FC709A">
            <w:pPr>
              <w:spacing w:after="0" w:line="240" w:lineRule="auto"/>
              <w:jc w:val="center"/>
              <w:rPr>
                <w:rFonts w:ascii="Times New Roman" w:eastAsia="Calibri" w:hAnsi="Times New Roman" w:cs="Times New Roman"/>
                <w:lang w:val="en-NZ" w:eastAsia="en-US"/>
              </w:rPr>
            </w:pPr>
          </w:p>
        </w:tc>
      </w:tr>
      <w:tr w:rsidR="00740C24" w:rsidRPr="006C35DB" w:rsidTr="00FC709A">
        <w:tc>
          <w:tcPr>
            <w:tcW w:w="3539" w:type="dxa"/>
            <w:tcBorders>
              <w:top w:val="single" w:sz="4" w:space="0" w:color="auto"/>
              <w:left w:val="single" w:sz="4" w:space="0" w:color="auto"/>
              <w:bottom w:val="single" w:sz="4" w:space="0" w:color="auto"/>
              <w:right w:val="single" w:sz="4" w:space="0" w:color="auto"/>
            </w:tcBorders>
            <w:shd w:val="clear" w:color="auto" w:fill="auto"/>
            <w:hideMark/>
          </w:tcPr>
          <w:p w:rsidR="00740C24" w:rsidRPr="006C35DB" w:rsidRDefault="00740C24" w:rsidP="00FC709A">
            <w:pPr>
              <w:spacing w:after="0" w:line="240" w:lineRule="auto"/>
              <w:rPr>
                <w:rFonts w:ascii="Times New Roman" w:eastAsia="Calibri" w:hAnsi="Times New Roman" w:cs="Times New Roman"/>
              </w:rPr>
            </w:pPr>
            <w:r>
              <w:rPr>
                <w:rFonts w:ascii="Times New Roman" w:hAnsi="Times New Roman"/>
              </w:rPr>
              <w:t>TIMOR-LESTE – NHL &amp; HNGV</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740C24" w:rsidRPr="006C35DB" w:rsidRDefault="00740C24" w:rsidP="00FC709A">
            <w:pPr>
              <w:spacing w:after="0" w:line="240" w:lineRule="auto"/>
              <w:jc w:val="center"/>
              <w:rPr>
                <w:rFonts w:ascii="Times New Roman" w:eastAsia="Calibri" w:hAnsi="Times New Roman" w:cs="Times New Roman"/>
              </w:rPr>
            </w:pPr>
            <w:r>
              <w:rPr>
                <w:rFonts w:ascii="Times New Roman" w:hAnsi="Times New Roman"/>
              </w:rPr>
              <w:t>45 % en 2018</w:t>
            </w:r>
          </w:p>
        </w:tc>
        <w:tc>
          <w:tcPr>
            <w:tcW w:w="2637" w:type="dxa"/>
            <w:tcBorders>
              <w:top w:val="single" w:sz="4" w:space="0" w:color="auto"/>
              <w:left w:val="single" w:sz="4" w:space="0" w:color="auto"/>
              <w:bottom w:val="single" w:sz="4" w:space="0" w:color="auto"/>
              <w:right w:val="single" w:sz="4" w:space="0" w:color="auto"/>
            </w:tcBorders>
            <w:shd w:val="clear" w:color="auto" w:fill="auto"/>
            <w:hideMark/>
          </w:tcPr>
          <w:p w:rsidR="00740C24" w:rsidRPr="006C35DB" w:rsidRDefault="00740C24" w:rsidP="00FC709A">
            <w:pPr>
              <w:spacing w:after="0" w:line="240" w:lineRule="auto"/>
              <w:jc w:val="center"/>
              <w:rPr>
                <w:rFonts w:ascii="Times New Roman" w:eastAsia="Calibri" w:hAnsi="Times New Roman" w:cs="Times New Roman"/>
              </w:rPr>
            </w:pPr>
            <w:r>
              <w:rPr>
                <w:rFonts w:ascii="Times New Roman" w:hAnsi="Times New Roman"/>
              </w:rPr>
              <w:t>&gt;40 % en 2019</w:t>
            </w:r>
          </w:p>
        </w:tc>
      </w:tr>
      <w:tr w:rsidR="00740C24" w:rsidRPr="006C35DB" w:rsidTr="00FC709A">
        <w:tc>
          <w:tcPr>
            <w:tcW w:w="3539" w:type="dxa"/>
            <w:tcBorders>
              <w:top w:val="single" w:sz="4" w:space="0" w:color="auto"/>
              <w:left w:val="single" w:sz="4" w:space="0" w:color="auto"/>
              <w:bottom w:val="single" w:sz="4" w:space="0" w:color="auto"/>
              <w:right w:val="single" w:sz="4" w:space="0" w:color="auto"/>
            </w:tcBorders>
            <w:shd w:val="clear" w:color="auto" w:fill="auto"/>
            <w:hideMark/>
          </w:tcPr>
          <w:p w:rsidR="00740C24" w:rsidRPr="00740C24" w:rsidRDefault="00740C24" w:rsidP="00FC709A">
            <w:pPr>
              <w:spacing w:after="0" w:line="240" w:lineRule="auto"/>
              <w:rPr>
                <w:rFonts w:ascii="Times New Roman" w:eastAsia="Calibri" w:hAnsi="Times New Roman" w:cs="Times New Roman"/>
              </w:rPr>
            </w:pPr>
            <w:r>
              <w:rPr>
                <w:rFonts w:ascii="Times New Roman" w:hAnsi="Times New Roman"/>
              </w:rPr>
              <w:t>ÎLES SALOMON  NRH</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740C24" w:rsidRPr="006C35DB" w:rsidRDefault="00740C24" w:rsidP="00FC709A">
            <w:pPr>
              <w:spacing w:after="0" w:line="240" w:lineRule="auto"/>
              <w:jc w:val="center"/>
              <w:rPr>
                <w:rFonts w:ascii="Times New Roman" w:eastAsia="Calibri" w:hAnsi="Times New Roman" w:cs="Times New Roman"/>
                <w:lang w:val="en-NZ" w:eastAsia="en-US"/>
              </w:rPr>
            </w:pPr>
          </w:p>
        </w:tc>
        <w:tc>
          <w:tcPr>
            <w:tcW w:w="2637" w:type="dxa"/>
            <w:tcBorders>
              <w:top w:val="single" w:sz="4" w:space="0" w:color="auto"/>
              <w:left w:val="single" w:sz="4" w:space="0" w:color="auto"/>
              <w:bottom w:val="single" w:sz="4" w:space="0" w:color="auto"/>
              <w:right w:val="single" w:sz="4" w:space="0" w:color="auto"/>
            </w:tcBorders>
            <w:shd w:val="clear" w:color="auto" w:fill="auto"/>
            <w:hideMark/>
          </w:tcPr>
          <w:p w:rsidR="00740C24" w:rsidRPr="006C35DB" w:rsidRDefault="00740C24" w:rsidP="00FC709A">
            <w:pPr>
              <w:spacing w:after="0" w:line="240" w:lineRule="auto"/>
              <w:jc w:val="center"/>
              <w:rPr>
                <w:rFonts w:ascii="Times New Roman" w:eastAsia="Calibri" w:hAnsi="Times New Roman" w:cs="Times New Roman"/>
              </w:rPr>
            </w:pPr>
            <w:r>
              <w:rPr>
                <w:rFonts w:ascii="Times New Roman" w:hAnsi="Times New Roman"/>
              </w:rPr>
              <w:t>60 % (2018)</w:t>
            </w:r>
          </w:p>
        </w:tc>
      </w:tr>
      <w:tr w:rsidR="00740C24" w:rsidRPr="006C35DB" w:rsidTr="00FC709A">
        <w:tc>
          <w:tcPr>
            <w:tcW w:w="3539" w:type="dxa"/>
            <w:tcBorders>
              <w:top w:val="single" w:sz="4" w:space="0" w:color="auto"/>
              <w:left w:val="single" w:sz="4" w:space="0" w:color="auto"/>
              <w:bottom w:val="single" w:sz="4" w:space="0" w:color="auto"/>
              <w:right w:val="single" w:sz="4" w:space="0" w:color="auto"/>
            </w:tcBorders>
            <w:shd w:val="clear" w:color="auto" w:fill="auto"/>
            <w:hideMark/>
          </w:tcPr>
          <w:p w:rsidR="00740C24" w:rsidRPr="006C35DB" w:rsidRDefault="00740C24" w:rsidP="00FC709A">
            <w:pPr>
              <w:spacing w:after="0" w:line="240" w:lineRule="auto"/>
              <w:rPr>
                <w:rFonts w:ascii="Times New Roman" w:eastAsia="Calibri" w:hAnsi="Times New Roman" w:cs="Times New Roman"/>
              </w:rPr>
            </w:pPr>
            <w:r>
              <w:rPr>
                <w:rFonts w:ascii="Times New Roman" w:hAnsi="Times New Roman"/>
              </w:rPr>
              <w:t>ÎLES SALOMON  Laboratoire provincial (</w:t>
            </w:r>
            <w:proofErr w:type="spellStart"/>
            <w:r>
              <w:rPr>
                <w:rFonts w:ascii="Times New Roman" w:hAnsi="Times New Roman"/>
              </w:rPr>
              <w:t>Gizo</w:t>
            </w:r>
            <w:proofErr w:type="spellEnd"/>
            <w:r>
              <w:rPr>
                <w:rFonts w:ascii="Times New Roman" w:hAnsi="Times New Roman"/>
              </w:rPr>
              <w:t>)</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740C24" w:rsidRPr="006C35DB" w:rsidRDefault="00740C24" w:rsidP="00FC709A">
            <w:pPr>
              <w:spacing w:after="0" w:line="240" w:lineRule="auto"/>
              <w:jc w:val="center"/>
              <w:rPr>
                <w:rFonts w:ascii="Times New Roman" w:eastAsia="Calibri" w:hAnsi="Times New Roman" w:cs="Times New Roman"/>
              </w:rPr>
            </w:pPr>
            <w:r>
              <w:rPr>
                <w:rFonts w:ascii="Times New Roman" w:hAnsi="Times New Roman"/>
              </w:rPr>
              <w:t>40 %</w:t>
            </w:r>
          </w:p>
        </w:tc>
        <w:tc>
          <w:tcPr>
            <w:tcW w:w="2637" w:type="dxa"/>
            <w:tcBorders>
              <w:top w:val="single" w:sz="4" w:space="0" w:color="auto"/>
              <w:left w:val="single" w:sz="4" w:space="0" w:color="auto"/>
              <w:bottom w:val="single" w:sz="4" w:space="0" w:color="auto"/>
              <w:right w:val="single" w:sz="4" w:space="0" w:color="auto"/>
            </w:tcBorders>
            <w:shd w:val="clear" w:color="auto" w:fill="auto"/>
          </w:tcPr>
          <w:p w:rsidR="00740C24" w:rsidRPr="006C35DB" w:rsidRDefault="00740C24" w:rsidP="00FC709A">
            <w:pPr>
              <w:spacing w:after="0" w:line="240" w:lineRule="auto"/>
              <w:jc w:val="center"/>
              <w:rPr>
                <w:rFonts w:ascii="Times New Roman" w:eastAsia="Calibri" w:hAnsi="Times New Roman" w:cs="Times New Roman"/>
                <w:lang w:val="en-NZ" w:eastAsia="en-US"/>
              </w:rPr>
            </w:pPr>
          </w:p>
        </w:tc>
      </w:tr>
      <w:tr w:rsidR="00740C24" w:rsidRPr="006C35DB" w:rsidTr="00FC709A">
        <w:tc>
          <w:tcPr>
            <w:tcW w:w="3539" w:type="dxa"/>
            <w:tcBorders>
              <w:top w:val="single" w:sz="4" w:space="0" w:color="auto"/>
              <w:left w:val="single" w:sz="4" w:space="0" w:color="auto"/>
              <w:bottom w:val="single" w:sz="4" w:space="0" w:color="auto"/>
              <w:right w:val="single" w:sz="4" w:space="0" w:color="auto"/>
            </w:tcBorders>
            <w:shd w:val="clear" w:color="auto" w:fill="auto"/>
            <w:hideMark/>
          </w:tcPr>
          <w:p w:rsidR="00740C24" w:rsidRPr="00740C24" w:rsidRDefault="00740C24" w:rsidP="00FC709A">
            <w:pPr>
              <w:spacing w:after="0" w:line="240" w:lineRule="auto"/>
              <w:rPr>
                <w:rFonts w:ascii="Times New Roman" w:eastAsia="Calibri" w:hAnsi="Times New Roman" w:cs="Times New Roman"/>
              </w:rPr>
            </w:pPr>
            <w:r>
              <w:rPr>
                <w:rFonts w:ascii="Times New Roman" w:hAnsi="Times New Roman"/>
              </w:rPr>
              <w:t>KIRIBATI  TCH</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740C24" w:rsidRPr="006C35DB" w:rsidRDefault="00740C24" w:rsidP="00FC709A">
            <w:pPr>
              <w:spacing w:after="0" w:line="240" w:lineRule="auto"/>
              <w:jc w:val="center"/>
              <w:rPr>
                <w:rFonts w:ascii="Times New Roman" w:eastAsia="Calibri" w:hAnsi="Times New Roman" w:cs="Times New Roman"/>
              </w:rPr>
            </w:pPr>
            <w:r>
              <w:rPr>
                <w:rFonts w:ascii="Times New Roman" w:hAnsi="Times New Roman"/>
              </w:rPr>
              <w:t>60 % en 2017</w:t>
            </w:r>
          </w:p>
        </w:tc>
        <w:tc>
          <w:tcPr>
            <w:tcW w:w="2637" w:type="dxa"/>
            <w:tcBorders>
              <w:top w:val="single" w:sz="4" w:space="0" w:color="auto"/>
              <w:left w:val="single" w:sz="4" w:space="0" w:color="auto"/>
              <w:bottom w:val="single" w:sz="4" w:space="0" w:color="auto"/>
              <w:right w:val="single" w:sz="4" w:space="0" w:color="auto"/>
            </w:tcBorders>
            <w:shd w:val="clear" w:color="auto" w:fill="auto"/>
          </w:tcPr>
          <w:p w:rsidR="00740C24" w:rsidRPr="006C35DB" w:rsidRDefault="00740C24" w:rsidP="00FC709A">
            <w:pPr>
              <w:spacing w:after="0" w:line="240" w:lineRule="auto"/>
              <w:jc w:val="center"/>
              <w:rPr>
                <w:rFonts w:ascii="Times New Roman" w:eastAsia="Calibri" w:hAnsi="Times New Roman" w:cs="Times New Roman"/>
                <w:lang w:val="en-NZ" w:eastAsia="en-US"/>
              </w:rPr>
            </w:pPr>
          </w:p>
        </w:tc>
      </w:tr>
      <w:tr w:rsidR="00740C24" w:rsidRPr="006C35DB" w:rsidTr="00FC709A">
        <w:tc>
          <w:tcPr>
            <w:tcW w:w="3539" w:type="dxa"/>
            <w:tcBorders>
              <w:top w:val="single" w:sz="4" w:space="0" w:color="auto"/>
              <w:left w:val="single" w:sz="4" w:space="0" w:color="auto"/>
              <w:bottom w:val="single" w:sz="4" w:space="0" w:color="auto"/>
              <w:right w:val="single" w:sz="4" w:space="0" w:color="auto"/>
            </w:tcBorders>
            <w:shd w:val="clear" w:color="auto" w:fill="auto"/>
            <w:hideMark/>
          </w:tcPr>
          <w:p w:rsidR="00740C24" w:rsidRPr="00740C24" w:rsidRDefault="00740C24" w:rsidP="00FC709A">
            <w:pPr>
              <w:spacing w:after="0" w:line="240" w:lineRule="auto"/>
              <w:rPr>
                <w:rFonts w:ascii="Times New Roman" w:eastAsia="Calibri" w:hAnsi="Times New Roman" w:cs="Times New Roman"/>
              </w:rPr>
            </w:pPr>
            <w:r>
              <w:rPr>
                <w:rFonts w:ascii="Times New Roman" w:hAnsi="Times New Roman"/>
              </w:rPr>
              <w:t>NAURU  RONH</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740C24" w:rsidRPr="006C35DB" w:rsidRDefault="00740C24" w:rsidP="00FC709A">
            <w:pPr>
              <w:spacing w:after="0" w:line="240" w:lineRule="auto"/>
              <w:jc w:val="center"/>
              <w:rPr>
                <w:rFonts w:ascii="Times New Roman" w:eastAsia="Calibri" w:hAnsi="Times New Roman" w:cs="Times New Roman"/>
                <w:lang w:val="en-NZ" w:eastAsia="en-US"/>
              </w:rPr>
            </w:pPr>
          </w:p>
        </w:tc>
        <w:tc>
          <w:tcPr>
            <w:tcW w:w="2637" w:type="dxa"/>
            <w:tcBorders>
              <w:top w:val="single" w:sz="4" w:space="0" w:color="auto"/>
              <w:left w:val="single" w:sz="4" w:space="0" w:color="auto"/>
              <w:bottom w:val="single" w:sz="4" w:space="0" w:color="auto"/>
              <w:right w:val="single" w:sz="4" w:space="0" w:color="auto"/>
            </w:tcBorders>
            <w:shd w:val="clear" w:color="auto" w:fill="auto"/>
            <w:hideMark/>
          </w:tcPr>
          <w:p w:rsidR="00740C24" w:rsidRPr="006C35DB" w:rsidRDefault="00740C24" w:rsidP="00FC709A">
            <w:pPr>
              <w:spacing w:after="0" w:line="240" w:lineRule="auto"/>
              <w:jc w:val="center"/>
              <w:rPr>
                <w:rFonts w:ascii="Times New Roman" w:eastAsia="Calibri" w:hAnsi="Times New Roman" w:cs="Times New Roman"/>
              </w:rPr>
            </w:pPr>
            <w:r>
              <w:rPr>
                <w:rFonts w:ascii="Times New Roman" w:hAnsi="Times New Roman"/>
              </w:rPr>
              <w:t>76 % (2017)</w:t>
            </w:r>
          </w:p>
        </w:tc>
      </w:tr>
      <w:tr w:rsidR="00740C24" w:rsidRPr="006C35DB" w:rsidTr="00FC709A">
        <w:tc>
          <w:tcPr>
            <w:tcW w:w="3539" w:type="dxa"/>
            <w:tcBorders>
              <w:top w:val="single" w:sz="4" w:space="0" w:color="auto"/>
              <w:left w:val="single" w:sz="4" w:space="0" w:color="auto"/>
              <w:bottom w:val="single" w:sz="4" w:space="0" w:color="auto"/>
              <w:right w:val="single" w:sz="4" w:space="0" w:color="auto"/>
            </w:tcBorders>
            <w:shd w:val="clear" w:color="auto" w:fill="auto"/>
            <w:hideMark/>
          </w:tcPr>
          <w:p w:rsidR="00740C24" w:rsidRPr="00740C24" w:rsidRDefault="00740C24" w:rsidP="00FC709A">
            <w:pPr>
              <w:spacing w:after="0" w:line="240" w:lineRule="auto"/>
              <w:rPr>
                <w:rFonts w:ascii="Times New Roman" w:eastAsia="Calibri" w:hAnsi="Times New Roman" w:cs="Times New Roman"/>
              </w:rPr>
            </w:pPr>
            <w:r>
              <w:rPr>
                <w:rFonts w:ascii="Times New Roman" w:hAnsi="Times New Roman"/>
              </w:rPr>
              <w:t>ÎLES COOK  RH</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740C24" w:rsidRPr="006C35DB" w:rsidRDefault="00740C24" w:rsidP="00FC709A">
            <w:pPr>
              <w:spacing w:after="0" w:line="240" w:lineRule="auto"/>
              <w:jc w:val="center"/>
              <w:rPr>
                <w:rFonts w:ascii="Times New Roman" w:eastAsia="Calibri" w:hAnsi="Times New Roman" w:cs="Times New Roman"/>
                <w:lang w:val="en-NZ" w:eastAsia="en-US"/>
              </w:rPr>
            </w:pPr>
          </w:p>
        </w:tc>
        <w:tc>
          <w:tcPr>
            <w:tcW w:w="2637" w:type="dxa"/>
            <w:tcBorders>
              <w:top w:val="single" w:sz="4" w:space="0" w:color="auto"/>
              <w:left w:val="single" w:sz="4" w:space="0" w:color="auto"/>
              <w:bottom w:val="single" w:sz="4" w:space="0" w:color="auto"/>
              <w:right w:val="single" w:sz="4" w:space="0" w:color="auto"/>
            </w:tcBorders>
            <w:shd w:val="clear" w:color="auto" w:fill="auto"/>
            <w:hideMark/>
          </w:tcPr>
          <w:p w:rsidR="00740C24" w:rsidRPr="006C35DB" w:rsidRDefault="00740C24" w:rsidP="00FC709A">
            <w:pPr>
              <w:spacing w:after="0" w:line="240" w:lineRule="auto"/>
              <w:jc w:val="center"/>
              <w:rPr>
                <w:rFonts w:ascii="Times New Roman" w:eastAsia="Calibri" w:hAnsi="Times New Roman" w:cs="Times New Roman"/>
              </w:rPr>
            </w:pPr>
            <w:r>
              <w:rPr>
                <w:rFonts w:ascii="Times New Roman" w:hAnsi="Times New Roman"/>
              </w:rPr>
              <w:t>74 % (2015)</w:t>
            </w:r>
          </w:p>
        </w:tc>
      </w:tr>
      <w:tr w:rsidR="00740C24" w:rsidRPr="006C35DB" w:rsidTr="00FC709A">
        <w:tc>
          <w:tcPr>
            <w:tcW w:w="3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0C24" w:rsidRPr="00740C24" w:rsidRDefault="00740C24" w:rsidP="00FC709A">
            <w:pPr>
              <w:spacing w:after="0" w:line="240" w:lineRule="auto"/>
              <w:jc w:val="center"/>
              <w:rPr>
                <w:rFonts w:ascii="Times New Roman" w:eastAsia="Calibri" w:hAnsi="Times New Roman" w:cs="Times New Roman"/>
              </w:rPr>
            </w:pPr>
            <w:r>
              <w:rPr>
                <w:rFonts w:ascii="Times New Roman" w:hAnsi="Times New Roman"/>
                <w:b/>
              </w:rPr>
              <w:t>Laboratoire/État ou Territoire insulaire océanien</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740C24" w:rsidRPr="003E4C41" w:rsidRDefault="00740C24" w:rsidP="00FC709A">
            <w:pPr>
              <w:spacing w:after="0" w:line="240" w:lineRule="auto"/>
              <w:jc w:val="center"/>
              <w:rPr>
                <w:rFonts w:ascii="Times New Roman" w:eastAsia="Calibri" w:hAnsi="Times New Roman" w:cs="Times New Roman"/>
                <w:b/>
              </w:rPr>
            </w:pPr>
            <w:r>
              <w:rPr>
                <w:rFonts w:ascii="Times New Roman" w:hAnsi="Times New Roman"/>
                <w:b/>
              </w:rPr>
              <w:t>Respect des normes minimales de l</w:t>
            </w:r>
            <w:r w:rsidR="00AD4EEC">
              <w:rPr>
                <w:rFonts w:ascii="Times New Roman" w:hAnsi="Times New Roman"/>
                <w:b/>
              </w:rPr>
              <w:t>’</w:t>
            </w:r>
            <w:r>
              <w:rPr>
                <w:rFonts w:ascii="Times New Roman" w:hAnsi="Times New Roman"/>
                <w:b/>
              </w:rPr>
              <w:t>OMS</w:t>
            </w:r>
          </w:p>
        </w:tc>
        <w:tc>
          <w:tcPr>
            <w:tcW w:w="2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740C24" w:rsidRPr="00740C24" w:rsidRDefault="00740C24" w:rsidP="00FC709A">
            <w:pPr>
              <w:spacing w:after="0" w:line="240" w:lineRule="auto"/>
              <w:jc w:val="center"/>
              <w:rPr>
                <w:rFonts w:ascii="Times New Roman" w:eastAsia="Calibri" w:hAnsi="Times New Roman" w:cs="Times New Roman"/>
                <w:b/>
              </w:rPr>
            </w:pPr>
            <w:r>
              <w:rPr>
                <w:rFonts w:ascii="Times New Roman" w:hAnsi="Times New Roman"/>
                <w:b/>
              </w:rPr>
              <w:t>Respect de la norme ISO 15189 / SLIPTA</w:t>
            </w:r>
          </w:p>
        </w:tc>
      </w:tr>
      <w:tr w:rsidR="00740C24" w:rsidRPr="006C35DB" w:rsidTr="00FC709A">
        <w:tc>
          <w:tcPr>
            <w:tcW w:w="3539" w:type="dxa"/>
            <w:tcBorders>
              <w:top w:val="single" w:sz="4" w:space="0" w:color="auto"/>
              <w:left w:val="single" w:sz="4" w:space="0" w:color="auto"/>
              <w:bottom w:val="single" w:sz="4" w:space="0" w:color="auto"/>
              <w:right w:val="single" w:sz="4" w:space="0" w:color="auto"/>
            </w:tcBorders>
            <w:shd w:val="clear" w:color="auto" w:fill="auto"/>
            <w:hideMark/>
          </w:tcPr>
          <w:p w:rsidR="00740C24" w:rsidRPr="00740C24" w:rsidRDefault="00740C24" w:rsidP="00FC709A">
            <w:pPr>
              <w:spacing w:after="0" w:line="240" w:lineRule="auto"/>
              <w:rPr>
                <w:rFonts w:ascii="Times New Roman" w:eastAsia="Calibri" w:hAnsi="Times New Roman" w:cs="Times New Roman"/>
              </w:rPr>
            </w:pPr>
            <w:r>
              <w:rPr>
                <w:rFonts w:ascii="Times New Roman" w:hAnsi="Times New Roman"/>
              </w:rPr>
              <w:t>TUVALU  PMH</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740C24" w:rsidRPr="006C35DB" w:rsidRDefault="00740C24" w:rsidP="00FC709A">
            <w:pPr>
              <w:spacing w:after="0" w:line="240" w:lineRule="auto"/>
              <w:jc w:val="center"/>
              <w:rPr>
                <w:rFonts w:ascii="Times New Roman" w:eastAsia="Calibri" w:hAnsi="Times New Roman" w:cs="Times New Roman"/>
              </w:rPr>
            </w:pPr>
            <w:r>
              <w:rPr>
                <w:rFonts w:ascii="Times New Roman" w:hAnsi="Times New Roman"/>
              </w:rPr>
              <w:t>50 %</w:t>
            </w:r>
          </w:p>
        </w:tc>
        <w:tc>
          <w:tcPr>
            <w:tcW w:w="2637" w:type="dxa"/>
            <w:tcBorders>
              <w:top w:val="single" w:sz="4" w:space="0" w:color="auto"/>
              <w:left w:val="single" w:sz="4" w:space="0" w:color="auto"/>
              <w:bottom w:val="single" w:sz="4" w:space="0" w:color="auto"/>
              <w:right w:val="single" w:sz="4" w:space="0" w:color="auto"/>
            </w:tcBorders>
            <w:shd w:val="clear" w:color="auto" w:fill="auto"/>
          </w:tcPr>
          <w:p w:rsidR="00740C24" w:rsidRPr="006C35DB" w:rsidRDefault="00740C24" w:rsidP="00FC709A">
            <w:pPr>
              <w:spacing w:after="0" w:line="240" w:lineRule="auto"/>
              <w:jc w:val="center"/>
              <w:rPr>
                <w:rFonts w:ascii="Times New Roman" w:eastAsia="Calibri" w:hAnsi="Times New Roman" w:cs="Times New Roman"/>
              </w:rPr>
            </w:pPr>
            <w:r>
              <w:rPr>
                <w:rFonts w:ascii="Times New Roman" w:hAnsi="Times New Roman"/>
              </w:rPr>
              <w:t>47 % (2017)</w:t>
            </w:r>
          </w:p>
        </w:tc>
      </w:tr>
      <w:tr w:rsidR="00740C24" w:rsidRPr="006C35DB" w:rsidTr="00FC709A">
        <w:tc>
          <w:tcPr>
            <w:tcW w:w="3539" w:type="dxa"/>
            <w:tcBorders>
              <w:top w:val="single" w:sz="4" w:space="0" w:color="auto"/>
              <w:left w:val="single" w:sz="4" w:space="0" w:color="auto"/>
              <w:bottom w:val="single" w:sz="4" w:space="0" w:color="auto"/>
              <w:right w:val="single" w:sz="4" w:space="0" w:color="auto"/>
            </w:tcBorders>
            <w:shd w:val="clear" w:color="auto" w:fill="auto"/>
            <w:hideMark/>
          </w:tcPr>
          <w:p w:rsidR="00740C24" w:rsidRPr="00740C24" w:rsidRDefault="00740C24" w:rsidP="00FC709A">
            <w:pPr>
              <w:spacing w:after="0" w:line="240" w:lineRule="auto"/>
              <w:rPr>
                <w:rFonts w:ascii="Times New Roman" w:eastAsia="Calibri" w:hAnsi="Times New Roman" w:cs="Times New Roman"/>
              </w:rPr>
            </w:pPr>
            <w:r>
              <w:rPr>
                <w:rFonts w:ascii="Times New Roman" w:hAnsi="Times New Roman"/>
              </w:rPr>
              <w:t>ÎLES MARSHALL  MCH</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740C24" w:rsidRPr="006C35DB" w:rsidRDefault="00740C24" w:rsidP="00FC709A">
            <w:pPr>
              <w:spacing w:after="0" w:line="240" w:lineRule="auto"/>
              <w:jc w:val="center"/>
              <w:rPr>
                <w:rFonts w:ascii="Times New Roman" w:eastAsia="Calibri" w:hAnsi="Times New Roman" w:cs="Times New Roman"/>
              </w:rPr>
            </w:pPr>
            <w:r>
              <w:rPr>
                <w:rFonts w:ascii="Times New Roman" w:hAnsi="Times New Roman"/>
              </w:rPr>
              <w:t>60 %</w:t>
            </w:r>
          </w:p>
        </w:tc>
        <w:tc>
          <w:tcPr>
            <w:tcW w:w="2637" w:type="dxa"/>
            <w:tcBorders>
              <w:top w:val="single" w:sz="4" w:space="0" w:color="auto"/>
              <w:left w:val="single" w:sz="4" w:space="0" w:color="auto"/>
              <w:bottom w:val="single" w:sz="4" w:space="0" w:color="auto"/>
              <w:right w:val="single" w:sz="4" w:space="0" w:color="auto"/>
            </w:tcBorders>
            <w:shd w:val="clear" w:color="auto" w:fill="auto"/>
          </w:tcPr>
          <w:p w:rsidR="00740C24" w:rsidRPr="006C35DB" w:rsidRDefault="00740C24" w:rsidP="00FC709A">
            <w:pPr>
              <w:spacing w:after="0" w:line="240" w:lineRule="auto"/>
              <w:jc w:val="center"/>
              <w:rPr>
                <w:rFonts w:ascii="Times New Roman" w:eastAsia="Calibri" w:hAnsi="Times New Roman" w:cs="Times New Roman"/>
              </w:rPr>
            </w:pPr>
            <w:r>
              <w:rPr>
                <w:rFonts w:ascii="Times New Roman" w:hAnsi="Times New Roman"/>
              </w:rPr>
              <w:t>33 % (2015)</w:t>
            </w:r>
          </w:p>
        </w:tc>
      </w:tr>
      <w:tr w:rsidR="00740C24" w:rsidRPr="006C35DB" w:rsidTr="00FC709A">
        <w:tc>
          <w:tcPr>
            <w:tcW w:w="3539" w:type="dxa"/>
            <w:tcBorders>
              <w:top w:val="single" w:sz="4" w:space="0" w:color="auto"/>
              <w:left w:val="single" w:sz="4" w:space="0" w:color="auto"/>
              <w:bottom w:val="single" w:sz="4" w:space="0" w:color="auto"/>
              <w:right w:val="single" w:sz="4" w:space="0" w:color="auto"/>
            </w:tcBorders>
            <w:shd w:val="clear" w:color="auto" w:fill="auto"/>
            <w:hideMark/>
          </w:tcPr>
          <w:p w:rsidR="00740C24" w:rsidRPr="006C35DB" w:rsidRDefault="00740C24" w:rsidP="00FC709A">
            <w:pPr>
              <w:spacing w:after="0" w:line="240" w:lineRule="auto"/>
              <w:rPr>
                <w:rFonts w:ascii="Times New Roman" w:eastAsia="Calibri" w:hAnsi="Times New Roman" w:cs="Times New Roman"/>
              </w:rPr>
            </w:pPr>
            <w:r>
              <w:rPr>
                <w:rFonts w:ascii="Times New Roman" w:hAnsi="Times New Roman"/>
              </w:rPr>
              <w:t>EBEYE</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740C24" w:rsidRPr="006C35DB" w:rsidRDefault="00740C24" w:rsidP="00FC709A">
            <w:pPr>
              <w:spacing w:after="0" w:line="240" w:lineRule="auto"/>
              <w:jc w:val="center"/>
              <w:rPr>
                <w:rFonts w:ascii="Times New Roman" w:eastAsia="Calibri" w:hAnsi="Times New Roman" w:cs="Times New Roman"/>
              </w:rPr>
            </w:pPr>
            <w:r>
              <w:rPr>
                <w:rFonts w:ascii="Times New Roman" w:hAnsi="Times New Roman"/>
              </w:rPr>
              <w:t>60 %</w:t>
            </w:r>
          </w:p>
        </w:tc>
        <w:tc>
          <w:tcPr>
            <w:tcW w:w="2637" w:type="dxa"/>
            <w:tcBorders>
              <w:top w:val="single" w:sz="4" w:space="0" w:color="auto"/>
              <w:left w:val="single" w:sz="4" w:space="0" w:color="auto"/>
              <w:bottom w:val="single" w:sz="4" w:space="0" w:color="auto"/>
              <w:right w:val="single" w:sz="4" w:space="0" w:color="auto"/>
            </w:tcBorders>
            <w:shd w:val="clear" w:color="auto" w:fill="auto"/>
          </w:tcPr>
          <w:p w:rsidR="00740C24" w:rsidRPr="006C35DB" w:rsidRDefault="00740C24" w:rsidP="00FC709A">
            <w:pPr>
              <w:spacing w:after="0" w:line="240" w:lineRule="auto"/>
              <w:jc w:val="center"/>
              <w:rPr>
                <w:rFonts w:ascii="Times New Roman" w:eastAsia="Calibri" w:hAnsi="Times New Roman" w:cs="Times New Roman"/>
              </w:rPr>
            </w:pPr>
            <w:r>
              <w:rPr>
                <w:rFonts w:ascii="Times New Roman" w:hAnsi="Times New Roman"/>
              </w:rPr>
              <w:t>35 % (2015)</w:t>
            </w:r>
          </w:p>
        </w:tc>
      </w:tr>
      <w:tr w:rsidR="00740C24" w:rsidRPr="006C35DB" w:rsidTr="00FC709A">
        <w:tc>
          <w:tcPr>
            <w:tcW w:w="3539" w:type="dxa"/>
            <w:tcBorders>
              <w:top w:val="single" w:sz="4" w:space="0" w:color="auto"/>
              <w:left w:val="single" w:sz="4" w:space="0" w:color="auto"/>
              <w:bottom w:val="single" w:sz="4" w:space="0" w:color="auto"/>
              <w:right w:val="single" w:sz="4" w:space="0" w:color="auto"/>
            </w:tcBorders>
            <w:shd w:val="clear" w:color="auto" w:fill="auto"/>
            <w:hideMark/>
          </w:tcPr>
          <w:p w:rsidR="00740C24" w:rsidRPr="006C35DB" w:rsidRDefault="00740C24" w:rsidP="00FC709A">
            <w:pPr>
              <w:spacing w:after="0" w:line="240" w:lineRule="auto"/>
              <w:rPr>
                <w:rFonts w:ascii="Times New Roman" w:eastAsia="Calibri" w:hAnsi="Times New Roman" w:cs="Times New Roman"/>
              </w:rPr>
            </w:pPr>
            <w:r>
              <w:rPr>
                <w:rFonts w:ascii="Times New Roman" w:hAnsi="Times New Roman"/>
              </w:rPr>
              <w:t>POHNPEI</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740C24" w:rsidRPr="006C35DB" w:rsidRDefault="00740C24" w:rsidP="00FC709A">
            <w:pPr>
              <w:spacing w:after="0" w:line="240" w:lineRule="auto"/>
              <w:jc w:val="center"/>
              <w:rPr>
                <w:rFonts w:ascii="Times New Roman" w:eastAsia="Calibri" w:hAnsi="Times New Roman" w:cs="Times New Roman"/>
              </w:rPr>
            </w:pPr>
            <w:r>
              <w:rPr>
                <w:rFonts w:ascii="Times New Roman" w:hAnsi="Times New Roman"/>
              </w:rPr>
              <w:t>36 % (2017)</w:t>
            </w:r>
          </w:p>
        </w:tc>
        <w:tc>
          <w:tcPr>
            <w:tcW w:w="2637" w:type="dxa"/>
            <w:tcBorders>
              <w:top w:val="single" w:sz="4" w:space="0" w:color="auto"/>
              <w:left w:val="single" w:sz="4" w:space="0" w:color="auto"/>
              <w:bottom w:val="single" w:sz="4" w:space="0" w:color="auto"/>
              <w:right w:val="single" w:sz="4" w:space="0" w:color="auto"/>
            </w:tcBorders>
            <w:shd w:val="clear" w:color="auto" w:fill="auto"/>
          </w:tcPr>
          <w:p w:rsidR="00740C24" w:rsidRPr="006C35DB" w:rsidRDefault="00740C24" w:rsidP="00FC709A">
            <w:pPr>
              <w:spacing w:after="0" w:line="240" w:lineRule="auto"/>
              <w:jc w:val="center"/>
              <w:rPr>
                <w:rFonts w:ascii="Times New Roman" w:eastAsia="Calibri" w:hAnsi="Times New Roman" w:cs="Times New Roman"/>
                <w:lang w:val="en-NZ" w:eastAsia="en-US"/>
              </w:rPr>
            </w:pPr>
          </w:p>
        </w:tc>
      </w:tr>
      <w:tr w:rsidR="00740C24" w:rsidRPr="006C35DB" w:rsidTr="00FC709A">
        <w:tc>
          <w:tcPr>
            <w:tcW w:w="3539" w:type="dxa"/>
            <w:tcBorders>
              <w:top w:val="single" w:sz="4" w:space="0" w:color="auto"/>
              <w:left w:val="single" w:sz="4" w:space="0" w:color="auto"/>
              <w:bottom w:val="single" w:sz="4" w:space="0" w:color="auto"/>
              <w:right w:val="single" w:sz="4" w:space="0" w:color="auto"/>
            </w:tcBorders>
            <w:shd w:val="clear" w:color="auto" w:fill="auto"/>
            <w:hideMark/>
          </w:tcPr>
          <w:p w:rsidR="00740C24" w:rsidRPr="006C35DB" w:rsidRDefault="00740C24" w:rsidP="00FC709A">
            <w:pPr>
              <w:spacing w:after="0" w:line="240" w:lineRule="auto"/>
              <w:rPr>
                <w:rFonts w:ascii="Times New Roman" w:eastAsia="Calibri" w:hAnsi="Times New Roman" w:cs="Times New Roman"/>
              </w:rPr>
            </w:pPr>
            <w:r>
              <w:rPr>
                <w:rFonts w:ascii="Times New Roman" w:hAnsi="Times New Roman"/>
              </w:rPr>
              <w:t>Y</w:t>
            </w:r>
            <w:r w:rsidR="00213FA9">
              <w:rPr>
                <w:rFonts w:ascii="Times New Roman" w:hAnsi="Times New Roman"/>
              </w:rPr>
              <w:t>AP</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740C24" w:rsidRPr="006C35DB" w:rsidRDefault="00740C24" w:rsidP="00FC709A">
            <w:pPr>
              <w:spacing w:after="0" w:line="240" w:lineRule="auto"/>
              <w:jc w:val="center"/>
              <w:rPr>
                <w:rFonts w:ascii="Times New Roman" w:eastAsia="Calibri" w:hAnsi="Times New Roman" w:cs="Times New Roman"/>
              </w:rPr>
            </w:pPr>
            <w:r>
              <w:rPr>
                <w:rFonts w:ascii="Times New Roman" w:hAnsi="Times New Roman"/>
              </w:rPr>
              <w:t>60 % (2018)</w:t>
            </w:r>
          </w:p>
        </w:tc>
        <w:tc>
          <w:tcPr>
            <w:tcW w:w="2637" w:type="dxa"/>
            <w:tcBorders>
              <w:top w:val="single" w:sz="4" w:space="0" w:color="auto"/>
              <w:left w:val="single" w:sz="4" w:space="0" w:color="auto"/>
              <w:bottom w:val="single" w:sz="4" w:space="0" w:color="auto"/>
              <w:right w:val="single" w:sz="4" w:space="0" w:color="auto"/>
            </w:tcBorders>
            <w:shd w:val="clear" w:color="auto" w:fill="auto"/>
            <w:hideMark/>
          </w:tcPr>
          <w:p w:rsidR="00740C24" w:rsidRPr="006C35DB" w:rsidRDefault="00740C24" w:rsidP="00FC709A">
            <w:pPr>
              <w:spacing w:after="0" w:line="240" w:lineRule="auto"/>
              <w:jc w:val="center"/>
              <w:rPr>
                <w:rFonts w:ascii="Times New Roman" w:eastAsia="Calibri" w:hAnsi="Times New Roman" w:cs="Times New Roman"/>
                <w:lang w:val="en-NZ" w:eastAsia="en-US"/>
              </w:rPr>
            </w:pPr>
          </w:p>
        </w:tc>
      </w:tr>
    </w:tbl>
    <w:p w:rsidR="00740C24" w:rsidRPr="006C35DB" w:rsidRDefault="00740C24" w:rsidP="00740C24">
      <w:pPr>
        <w:rPr>
          <w:rFonts w:ascii="Times New Roman" w:hAnsi="Times New Roman" w:cs="Times New Roman"/>
          <w:b/>
        </w:rPr>
      </w:pPr>
    </w:p>
    <w:p w:rsidR="00740C24" w:rsidRPr="006C35DB" w:rsidRDefault="00740C24" w:rsidP="00A159A9">
      <w:pPr>
        <w:spacing w:line="240" w:lineRule="exact"/>
        <w:rPr>
          <w:rFonts w:ascii="Times New Roman" w:hAnsi="Times New Roman" w:cs="Times New Roman"/>
          <w:b/>
        </w:rPr>
      </w:pPr>
      <w:r>
        <w:rPr>
          <w:rFonts w:ascii="Times New Roman" w:hAnsi="Times New Roman"/>
          <w:b/>
          <w:bCs/>
        </w:rPr>
        <w:t xml:space="preserve">Annexe 3. </w:t>
      </w:r>
      <w:r>
        <w:rPr>
          <w:rFonts w:ascii="Times New Roman" w:hAnsi="Times New Roman"/>
          <w:b/>
        </w:rPr>
        <w:t>Calendrier de mentorat des laboratoires, 2019-2020</w:t>
      </w:r>
    </w:p>
    <w:tbl>
      <w:tblPr>
        <w:tblStyle w:val="TableGrid"/>
        <w:tblW w:w="0" w:type="auto"/>
        <w:jc w:val="center"/>
        <w:tblLook w:val="04A0" w:firstRow="1" w:lastRow="0" w:firstColumn="1" w:lastColumn="0" w:noHBand="0" w:noVBand="1"/>
      </w:tblPr>
      <w:tblGrid>
        <w:gridCol w:w="3482"/>
        <w:gridCol w:w="2617"/>
        <w:gridCol w:w="2617"/>
      </w:tblGrid>
      <w:tr w:rsidR="00740C24" w:rsidRPr="006C35DB" w:rsidTr="00FC709A">
        <w:trPr>
          <w:trHeight w:val="505"/>
          <w:jc w:val="center"/>
        </w:trPr>
        <w:tc>
          <w:tcPr>
            <w:tcW w:w="34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0C24" w:rsidRPr="006C35DB" w:rsidRDefault="00740C24" w:rsidP="00FC709A">
            <w:pPr>
              <w:jc w:val="center"/>
              <w:rPr>
                <w:rFonts w:ascii="Times New Roman" w:hAnsi="Times New Roman" w:cs="Times New Roman"/>
                <w:b/>
              </w:rPr>
            </w:pPr>
            <w:r>
              <w:rPr>
                <w:rFonts w:ascii="Times New Roman" w:hAnsi="Times New Roman"/>
                <w:b/>
              </w:rPr>
              <w:t>Laboratoire</w:t>
            </w:r>
            <w:r w:rsidR="00A159A9">
              <w:rPr>
                <w:rFonts w:ascii="Times New Roman" w:hAnsi="Times New Roman"/>
                <w:b/>
              </w:rPr>
              <w:t xml:space="preserve"> L2 </w:t>
            </w:r>
            <w:r>
              <w:rPr>
                <w:rFonts w:ascii="Times New Roman" w:hAnsi="Times New Roman"/>
                <w:b/>
              </w:rPr>
              <w:t>de référence (mentor)</w:t>
            </w:r>
          </w:p>
        </w:tc>
        <w:tc>
          <w:tcPr>
            <w:tcW w:w="26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0C24" w:rsidRPr="006C35DB" w:rsidRDefault="00740C24" w:rsidP="00FC709A">
            <w:pPr>
              <w:jc w:val="center"/>
              <w:rPr>
                <w:rFonts w:ascii="Times New Roman" w:hAnsi="Times New Roman" w:cs="Times New Roman"/>
                <w:b/>
              </w:rPr>
            </w:pPr>
            <w:r>
              <w:rPr>
                <w:rFonts w:ascii="Times New Roman" w:hAnsi="Times New Roman"/>
                <w:b/>
              </w:rPr>
              <w:t>État ou Territoire insulaire océanien cible (2019)</w:t>
            </w:r>
          </w:p>
        </w:tc>
        <w:tc>
          <w:tcPr>
            <w:tcW w:w="26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0C24" w:rsidRPr="006C35DB" w:rsidRDefault="00740C24" w:rsidP="00FC709A">
            <w:pPr>
              <w:jc w:val="center"/>
              <w:rPr>
                <w:rFonts w:ascii="Times New Roman" w:hAnsi="Times New Roman" w:cs="Times New Roman"/>
                <w:b/>
              </w:rPr>
            </w:pPr>
            <w:r>
              <w:rPr>
                <w:rFonts w:ascii="Times New Roman" w:hAnsi="Times New Roman"/>
                <w:b/>
              </w:rPr>
              <w:t>État ou Territoire insulaire océanien cible (2020)</w:t>
            </w:r>
          </w:p>
        </w:tc>
      </w:tr>
      <w:tr w:rsidR="00740C24" w:rsidRPr="006C35DB" w:rsidTr="00FC709A">
        <w:trPr>
          <w:trHeight w:val="519"/>
          <w:jc w:val="center"/>
        </w:trPr>
        <w:tc>
          <w:tcPr>
            <w:tcW w:w="3482" w:type="dxa"/>
            <w:tcBorders>
              <w:top w:val="single" w:sz="4" w:space="0" w:color="auto"/>
              <w:left w:val="single" w:sz="4" w:space="0" w:color="auto"/>
              <w:bottom w:val="single" w:sz="4" w:space="0" w:color="auto"/>
              <w:right w:val="single" w:sz="4" w:space="0" w:color="auto"/>
            </w:tcBorders>
          </w:tcPr>
          <w:p w:rsidR="00740C24" w:rsidRPr="00740C24" w:rsidRDefault="00740C24" w:rsidP="00FC709A">
            <w:pPr>
              <w:rPr>
                <w:rFonts w:ascii="Times New Roman" w:hAnsi="Times New Roman" w:cs="Times New Roman"/>
              </w:rPr>
            </w:pPr>
            <w:r>
              <w:rPr>
                <w:rFonts w:ascii="Times New Roman" w:hAnsi="Times New Roman"/>
              </w:rPr>
              <w:t>Laboratoire de santé publique de Guam</w:t>
            </w:r>
          </w:p>
        </w:tc>
        <w:tc>
          <w:tcPr>
            <w:tcW w:w="2617" w:type="dxa"/>
            <w:tcBorders>
              <w:top w:val="single" w:sz="4" w:space="0" w:color="auto"/>
              <w:left w:val="single" w:sz="4" w:space="0" w:color="auto"/>
              <w:bottom w:val="single" w:sz="4" w:space="0" w:color="auto"/>
              <w:right w:val="single" w:sz="4" w:space="0" w:color="auto"/>
            </w:tcBorders>
          </w:tcPr>
          <w:p w:rsidR="00740C24" w:rsidRPr="006C35DB" w:rsidRDefault="00740C24" w:rsidP="00FC709A">
            <w:pPr>
              <w:jc w:val="center"/>
              <w:rPr>
                <w:rFonts w:ascii="Times New Roman" w:hAnsi="Times New Roman" w:cs="Times New Roman"/>
              </w:rPr>
            </w:pPr>
            <w:r>
              <w:rPr>
                <w:rFonts w:ascii="Times New Roman" w:hAnsi="Times New Roman"/>
              </w:rPr>
              <w:t>Palau</w:t>
            </w:r>
          </w:p>
        </w:tc>
        <w:tc>
          <w:tcPr>
            <w:tcW w:w="2617" w:type="dxa"/>
            <w:tcBorders>
              <w:top w:val="single" w:sz="4" w:space="0" w:color="auto"/>
              <w:left w:val="single" w:sz="4" w:space="0" w:color="auto"/>
              <w:bottom w:val="single" w:sz="4" w:space="0" w:color="auto"/>
              <w:right w:val="single" w:sz="4" w:space="0" w:color="auto"/>
            </w:tcBorders>
          </w:tcPr>
          <w:p w:rsidR="00740C24" w:rsidRPr="00740C24" w:rsidRDefault="00740C24" w:rsidP="00FC709A">
            <w:pPr>
              <w:jc w:val="center"/>
              <w:rPr>
                <w:rFonts w:ascii="Times New Roman" w:hAnsi="Times New Roman" w:cs="Times New Roman"/>
              </w:rPr>
            </w:pPr>
            <w:r>
              <w:rPr>
                <w:rFonts w:ascii="Times New Roman" w:hAnsi="Times New Roman"/>
              </w:rPr>
              <w:t>Yap (États fédérés de Micronésie)</w:t>
            </w:r>
          </w:p>
          <w:p w:rsidR="00740C24" w:rsidRPr="006C35DB" w:rsidRDefault="00740C24" w:rsidP="00FC709A">
            <w:pPr>
              <w:jc w:val="center"/>
              <w:rPr>
                <w:rFonts w:ascii="Times New Roman" w:hAnsi="Times New Roman" w:cs="Times New Roman"/>
              </w:rPr>
            </w:pPr>
            <w:r>
              <w:rPr>
                <w:rFonts w:ascii="Times New Roman" w:hAnsi="Times New Roman"/>
              </w:rPr>
              <w:t>Îles Marshall</w:t>
            </w:r>
          </w:p>
        </w:tc>
      </w:tr>
      <w:tr w:rsidR="00740C24" w:rsidRPr="006C35DB" w:rsidTr="00FC709A">
        <w:trPr>
          <w:trHeight w:val="505"/>
          <w:jc w:val="center"/>
        </w:trPr>
        <w:tc>
          <w:tcPr>
            <w:tcW w:w="3482" w:type="dxa"/>
            <w:tcBorders>
              <w:top w:val="single" w:sz="4" w:space="0" w:color="auto"/>
              <w:left w:val="single" w:sz="4" w:space="0" w:color="auto"/>
              <w:bottom w:val="single" w:sz="4" w:space="0" w:color="auto"/>
              <w:right w:val="single" w:sz="4" w:space="0" w:color="auto"/>
            </w:tcBorders>
          </w:tcPr>
          <w:p w:rsidR="00740C24" w:rsidRPr="00740C24" w:rsidRDefault="00740C24" w:rsidP="00FC709A">
            <w:pPr>
              <w:rPr>
                <w:rFonts w:ascii="Times New Roman" w:hAnsi="Times New Roman" w:cs="Times New Roman"/>
              </w:rPr>
            </w:pPr>
            <w:r>
              <w:rPr>
                <w:rFonts w:ascii="Times New Roman" w:hAnsi="Times New Roman"/>
              </w:rPr>
              <w:t xml:space="preserve">Laboratoire de </w:t>
            </w:r>
            <w:proofErr w:type="spellStart"/>
            <w:r>
              <w:rPr>
                <w:rFonts w:ascii="Times New Roman" w:hAnsi="Times New Roman"/>
              </w:rPr>
              <w:t>Mataika</w:t>
            </w:r>
            <w:proofErr w:type="spellEnd"/>
            <w:r>
              <w:rPr>
                <w:rFonts w:ascii="Times New Roman" w:hAnsi="Times New Roman"/>
              </w:rPr>
              <w:t xml:space="preserve"> House, Fidji</w:t>
            </w:r>
          </w:p>
        </w:tc>
        <w:tc>
          <w:tcPr>
            <w:tcW w:w="2617" w:type="dxa"/>
            <w:tcBorders>
              <w:top w:val="single" w:sz="4" w:space="0" w:color="auto"/>
              <w:left w:val="single" w:sz="4" w:space="0" w:color="auto"/>
              <w:bottom w:val="single" w:sz="4" w:space="0" w:color="auto"/>
              <w:right w:val="single" w:sz="4" w:space="0" w:color="auto"/>
            </w:tcBorders>
          </w:tcPr>
          <w:p w:rsidR="00740C24" w:rsidRPr="006C35DB" w:rsidRDefault="00740C24" w:rsidP="00FC709A">
            <w:pPr>
              <w:jc w:val="center"/>
              <w:rPr>
                <w:rFonts w:ascii="Times New Roman" w:hAnsi="Times New Roman" w:cs="Times New Roman"/>
              </w:rPr>
            </w:pPr>
            <w:r>
              <w:rPr>
                <w:rFonts w:ascii="Times New Roman" w:hAnsi="Times New Roman"/>
              </w:rPr>
              <w:t>Kiribati</w:t>
            </w:r>
          </w:p>
        </w:tc>
        <w:tc>
          <w:tcPr>
            <w:tcW w:w="2617" w:type="dxa"/>
            <w:tcBorders>
              <w:top w:val="single" w:sz="4" w:space="0" w:color="auto"/>
              <w:left w:val="single" w:sz="4" w:space="0" w:color="auto"/>
              <w:bottom w:val="single" w:sz="4" w:space="0" w:color="auto"/>
              <w:right w:val="single" w:sz="4" w:space="0" w:color="auto"/>
            </w:tcBorders>
          </w:tcPr>
          <w:p w:rsidR="00740C24" w:rsidRPr="006C35DB" w:rsidRDefault="00740C24" w:rsidP="00FC709A">
            <w:pPr>
              <w:jc w:val="center"/>
              <w:rPr>
                <w:rFonts w:ascii="Times New Roman" w:hAnsi="Times New Roman" w:cs="Times New Roman"/>
              </w:rPr>
            </w:pPr>
            <w:r>
              <w:rPr>
                <w:rFonts w:ascii="Times New Roman" w:hAnsi="Times New Roman"/>
              </w:rPr>
              <w:t>Tuvalu</w:t>
            </w:r>
          </w:p>
        </w:tc>
      </w:tr>
      <w:tr w:rsidR="00740C24" w:rsidRPr="006C35DB" w:rsidTr="00FC709A">
        <w:trPr>
          <w:trHeight w:val="779"/>
          <w:jc w:val="center"/>
        </w:trPr>
        <w:tc>
          <w:tcPr>
            <w:tcW w:w="3482" w:type="dxa"/>
            <w:tcBorders>
              <w:top w:val="single" w:sz="4" w:space="0" w:color="auto"/>
              <w:left w:val="single" w:sz="4" w:space="0" w:color="auto"/>
              <w:bottom w:val="single" w:sz="4" w:space="0" w:color="auto"/>
              <w:right w:val="single" w:sz="4" w:space="0" w:color="auto"/>
            </w:tcBorders>
          </w:tcPr>
          <w:p w:rsidR="00740C24" w:rsidRPr="006C35DB" w:rsidRDefault="00740C24" w:rsidP="00FC709A">
            <w:pPr>
              <w:rPr>
                <w:rFonts w:ascii="Times New Roman" w:hAnsi="Times New Roman" w:cs="Times New Roman"/>
              </w:rPr>
            </w:pPr>
            <w:r>
              <w:rPr>
                <w:rFonts w:ascii="Times New Roman" w:hAnsi="Times New Roman"/>
              </w:rPr>
              <w:t>Institut Pasteur, Nouvelle-Calédonie</w:t>
            </w:r>
          </w:p>
        </w:tc>
        <w:tc>
          <w:tcPr>
            <w:tcW w:w="2617" w:type="dxa"/>
            <w:tcBorders>
              <w:top w:val="single" w:sz="4" w:space="0" w:color="auto"/>
              <w:left w:val="single" w:sz="4" w:space="0" w:color="auto"/>
              <w:bottom w:val="single" w:sz="4" w:space="0" w:color="auto"/>
              <w:right w:val="single" w:sz="4" w:space="0" w:color="auto"/>
            </w:tcBorders>
          </w:tcPr>
          <w:p w:rsidR="00740C24" w:rsidRPr="006C35DB" w:rsidRDefault="00740C24" w:rsidP="00FC709A">
            <w:pPr>
              <w:jc w:val="center"/>
              <w:rPr>
                <w:rFonts w:ascii="Times New Roman" w:hAnsi="Times New Roman" w:cs="Times New Roman"/>
              </w:rPr>
            </w:pPr>
            <w:r>
              <w:rPr>
                <w:rFonts w:ascii="Times New Roman" w:hAnsi="Times New Roman"/>
              </w:rPr>
              <w:t xml:space="preserve">Vanuatu </w:t>
            </w:r>
          </w:p>
          <w:p w:rsidR="00740C24" w:rsidRPr="00740C24" w:rsidRDefault="00740C24" w:rsidP="00FC709A">
            <w:pPr>
              <w:jc w:val="center"/>
              <w:rPr>
                <w:rFonts w:ascii="Times New Roman" w:hAnsi="Times New Roman" w:cs="Times New Roman"/>
              </w:rPr>
            </w:pPr>
            <w:r>
              <w:rPr>
                <w:rFonts w:ascii="Times New Roman" w:hAnsi="Times New Roman"/>
              </w:rPr>
              <w:t>Îles Salomon</w:t>
            </w:r>
          </w:p>
          <w:p w:rsidR="00740C24" w:rsidRPr="006C35DB" w:rsidRDefault="00740C24" w:rsidP="00FC709A">
            <w:pPr>
              <w:jc w:val="center"/>
              <w:rPr>
                <w:rFonts w:ascii="Times New Roman" w:hAnsi="Times New Roman" w:cs="Times New Roman"/>
              </w:rPr>
            </w:pPr>
            <w:r>
              <w:rPr>
                <w:rFonts w:ascii="Times New Roman" w:hAnsi="Times New Roman"/>
              </w:rPr>
              <w:t>Samoa</w:t>
            </w:r>
          </w:p>
        </w:tc>
        <w:tc>
          <w:tcPr>
            <w:tcW w:w="2617" w:type="dxa"/>
            <w:tcBorders>
              <w:top w:val="single" w:sz="4" w:space="0" w:color="auto"/>
              <w:left w:val="single" w:sz="4" w:space="0" w:color="auto"/>
              <w:bottom w:val="single" w:sz="4" w:space="0" w:color="auto"/>
              <w:right w:val="single" w:sz="4" w:space="0" w:color="auto"/>
            </w:tcBorders>
          </w:tcPr>
          <w:p w:rsidR="00740C24" w:rsidRPr="006C35DB" w:rsidRDefault="00740C24" w:rsidP="00FC709A">
            <w:pPr>
              <w:jc w:val="center"/>
              <w:rPr>
                <w:rFonts w:ascii="Times New Roman" w:hAnsi="Times New Roman" w:cs="Times New Roman"/>
              </w:rPr>
            </w:pPr>
            <w:r>
              <w:rPr>
                <w:rFonts w:ascii="Times New Roman" w:hAnsi="Times New Roman"/>
              </w:rPr>
              <w:t>Fidji</w:t>
            </w:r>
          </w:p>
        </w:tc>
      </w:tr>
      <w:tr w:rsidR="00740C24" w:rsidRPr="006C35DB" w:rsidTr="00FC709A">
        <w:trPr>
          <w:trHeight w:val="764"/>
          <w:jc w:val="center"/>
        </w:trPr>
        <w:tc>
          <w:tcPr>
            <w:tcW w:w="3482" w:type="dxa"/>
            <w:tcBorders>
              <w:top w:val="single" w:sz="4" w:space="0" w:color="auto"/>
              <w:left w:val="single" w:sz="4" w:space="0" w:color="auto"/>
              <w:bottom w:val="single" w:sz="4" w:space="0" w:color="auto"/>
              <w:right w:val="single" w:sz="4" w:space="0" w:color="auto"/>
            </w:tcBorders>
          </w:tcPr>
          <w:p w:rsidR="00740C24" w:rsidRPr="006C35DB" w:rsidRDefault="00740C24" w:rsidP="00FC709A">
            <w:pPr>
              <w:rPr>
                <w:rFonts w:ascii="Times New Roman" w:hAnsi="Times New Roman" w:cs="Times New Roman"/>
              </w:rPr>
            </w:pPr>
            <w:r>
              <w:rPr>
                <w:rFonts w:ascii="Times New Roman" w:hAnsi="Times New Roman"/>
              </w:rPr>
              <w:t xml:space="preserve">Institut Louis </w:t>
            </w:r>
            <w:proofErr w:type="spellStart"/>
            <w:r>
              <w:rPr>
                <w:rFonts w:ascii="Times New Roman" w:hAnsi="Times New Roman"/>
              </w:rPr>
              <w:t>Malardé</w:t>
            </w:r>
            <w:proofErr w:type="spellEnd"/>
            <w:r>
              <w:rPr>
                <w:rFonts w:ascii="Times New Roman" w:hAnsi="Times New Roman"/>
              </w:rPr>
              <w:t>, Polynésie française</w:t>
            </w:r>
          </w:p>
        </w:tc>
        <w:tc>
          <w:tcPr>
            <w:tcW w:w="2617" w:type="dxa"/>
            <w:tcBorders>
              <w:top w:val="single" w:sz="4" w:space="0" w:color="auto"/>
              <w:left w:val="single" w:sz="4" w:space="0" w:color="auto"/>
              <w:bottom w:val="single" w:sz="4" w:space="0" w:color="auto"/>
              <w:right w:val="single" w:sz="4" w:space="0" w:color="auto"/>
            </w:tcBorders>
          </w:tcPr>
          <w:p w:rsidR="00740C24" w:rsidRPr="00740C24" w:rsidRDefault="00740C24" w:rsidP="00FC709A">
            <w:pPr>
              <w:jc w:val="center"/>
              <w:rPr>
                <w:rFonts w:ascii="Times New Roman" w:hAnsi="Times New Roman" w:cs="Times New Roman"/>
              </w:rPr>
            </w:pPr>
            <w:r>
              <w:rPr>
                <w:rFonts w:ascii="Times New Roman" w:hAnsi="Times New Roman"/>
              </w:rPr>
              <w:t>Îles Cook</w:t>
            </w:r>
          </w:p>
          <w:p w:rsidR="00740C24" w:rsidRPr="006C35DB" w:rsidRDefault="00740C24" w:rsidP="00FC709A">
            <w:pPr>
              <w:jc w:val="center"/>
              <w:rPr>
                <w:rFonts w:ascii="Times New Roman" w:hAnsi="Times New Roman" w:cs="Times New Roman"/>
              </w:rPr>
            </w:pPr>
            <w:r>
              <w:rPr>
                <w:rFonts w:ascii="Times New Roman" w:hAnsi="Times New Roman"/>
              </w:rPr>
              <w:t>Nauru</w:t>
            </w:r>
          </w:p>
        </w:tc>
        <w:tc>
          <w:tcPr>
            <w:tcW w:w="2617" w:type="dxa"/>
            <w:tcBorders>
              <w:top w:val="single" w:sz="4" w:space="0" w:color="auto"/>
              <w:left w:val="single" w:sz="4" w:space="0" w:color="auto"/>
              <w:bottom w:val="single" w:sz="4" w:space="0" w:color="auto"/>
              <w:right w:val="single" w:sz="4" w:space="0" w:color="auto"/>
            </w:tcBorders>
          </w:tcPr>
          <w:p w:rsidR="00740C24" w:rsidRPr="006C35DB" w:rsidRDefault="00740C24" w:rsidP="00FC709A">
            <w:pPr>
              <w:jc w:val="center"/>
              <w:rPr>
                <w:rFonts w:ascii="Times New Roman" w:hAnsi="Times New Roman" w:cs="Times New Roman"/>
              </w:rPr>
            </w:pPr>
            <w:r>
              <w:rPr>
                <w:rFonts w:ascii="Times New Roman" w:hAnsi="Times New Roman"/>
              </w:rPr>
              <w:t>Niue</w:t>
            </w:r>
          </w:p>
        </w:tc>
      </w:tr>
    </w:tbl>
    <w:p w:rsidR="00740C24" w:rsidRDefault="00740C24" w:rsidP="00740C24">
      <w:pPr>
        <w:rPr>
          <w:rFonts w:ascii="Times New Roman" w:eastAsia="Malgun Gothic" w:hAnsi="Times New Roman" w:cs="Times New Roman"/>
          <w:b/>
          <w:bCs/>
        </w:rPr>
      </w:pPr>
      <w:r>
        <w:br w:type="page"/>
      </w:r>
    </w:p>
    <w:p w:rsidR="00740C24" w:rsidRPr="006C35DB" w:rsidRDefault="00740C24" w:rsidP="00740C24">
      <w:pPr>
        <w:spacing w:after="0" w:line="240" w:lineRule="auto"/>
        <w:rPr>
          <w:rFonts w:ascii="Times New Roman" w:hAnsi="Times New Roman" w:cs="Times New Roman"/>
          <w:b/>
        </w:rPr>
      </w:pPr>
      <w:r>
        <w:rPr>
          <w:rFonts w:ascii="Times New Roman" w:hAnsi="Times New Roman"/>
          <w:b/>
          <w:bCs/>
        </w:rPr>
        <w:lastRenderedPageBreak/>
        <w:t xml:space="preserve">Annexe 4. </w:t>
      </w:r>
      <w:r>
        <w:rPr>
          <w:rFonts w:ascii="Times New Roman" w:hAnsi="Times New Roman"/>
          <w:b/>
        </w:rPr>
        <w:t>Calendrier des outils d</w:t>
      </w:r>
      <w:r w:rsidR="00AD4EEC">
        <w:rPr>
          <w:rFonts w:ascii="Times New Roman" w:hAnsi="Times New Roman"/>
          <w:b/>
        </w:rPr>
        <w:t>’</w:t>
      </w:r>
      <w:r>
        <w:rPr>
          <w:rFonts w:ascii="Times New Roman" w:hAnsi="Times New Roman"/>
          <w:b/>
        </w:rPr>
        <w:t>accompagnement de la CPS pour la prévention et la lutte anti-infectieuse et la résistance aux antimicrobiens</w:t>
      </w:r>
    </w:p>
    <w:p w:rsidR="00740C24" w:rsidRDefault="00740C24" w:rsidP="00740C24">
      <w:pPr>
        <w:spacing w:after="0" w:line="240" w:lineRule="auto"/>
        <w:jc w:val="center"/>
        <w:rPr>
          <w:rFonts w:ascii="Times New Roman" w:hAnsi="Times New Roman" w:cs="Times New Roman"/>
          <w:b/>
        </w:rPr>
      </w:pPr>
    </w:p>
    <w:tbl>
      <w:tblPr>
        <w:tblStyle w:val="TableGrid"/>
        <w:tblW w:w="0" w:type="auto"/>
        <w:tblLook w:val="04A0" w:firstRow="1" w:lastRow="0" w:firstColumn="1" w:lastColumn="0" w:noHBand="0" w:noVBand="1"/>
      </w:tblPr>
      <w:tblGrid>
        <w:gridCol w:w="2309"/>
        <w:gridCol w:w="2311"/>
        <w:gridCol w:w="2311"/>
        <w:gridCol w:w="2311"/>
      </w:tblGrid>
      <w:tr w:rsidR="00740C24" w:rsidTr="00FC709A">
        <w:tc>
          <w:tcPr>
            <w:tcW w:w="2310" w:type="dxa"/>
          </w:tcPr>
          <w:p w:rsidR="00740C24" w:rsidRDefault="00740C24" w:rsidP="00FC709A">
            <w:pPr>
              <w:jc w:val="center"/>
              <w:rPr>
                <w:rFonts w:ascii="Times New Roman" w:hAnsi="Times New Roman" w:cs="Times New Roman"/>
                <w:b/>
              </w:rPr>
            </w:pPr>
            <w:r>
              <w:rPr>
                <w:rFonts w:ascii="Times New Roman" w:hAnsi="Times New Roman"/>
                <w:b/>
              </w:rPr>
              <w:t>Activité</w:t>
            </w:r>
          </w:p>
        </w:tc>
        <w:tc>
          <w:tcPr>
            <w:tcW w:w="2311" w:type="dxa"/>
          </w:tcPr>
          <w:p w:rsidR="00740C24" w:rsidRDefault="00740C24" w:rsidP="00FC709A">
            <w:pPr>
              <w:jc w:val="center"/>
              <w:rPr>
                <w:rFonts w:ascii="Times New Roman" w:hAnsi="Times New Roman" w:cs="Times New Roman"/>
                <w:b/>
              </w:rPr>
            </w:pPr>
            <w:r>
              <w:rPr>
                <w:rFonts w:ascii="Times New Roman" w:hAnsi="Times New Roman"/>
                <w:b/>
              </w:rPr>
              <w:t>2019</w:t>
            </w:r>
          </w:p>
        </w:tc>
        <w:tc>
          <w:tcPr>
            <w:tcW w:w="2311" w:type="dxa"/>
          </w:tcPr>
          <w:p w:rsidR="00740C24" w:rsidRDefault="00740C24" w:rsidP="00FC709A">
            <w:pPr>
              <w:jc w:val="center"/>
              <w:rPr>
                <w:rFonts w:ascii="Times New Roman" w:hAnsi="Times New Roman" w:cs="Times New Roman"/>
                <w:b/>
              </w:rPr>
            </w:pPr>
            <w:r>
              <w:rPr>
                <w:rFonts w:ascii="Times New Roman" w:hAnsi="Times New Roman"/>
                <w:b/>
              </w:rPr>
              <w:t>2020</w:t>
            </w:r>
          </w:p>
        </w:tc>
        <w:tc>
          <w:tcPr>
            <w:tcW w:w="2311" w:type="dxa"/>
          </w:tcPr>
          <w:p w:rsidR="00740C24" w:rsidRDefault="00740C24" w:rsidP="00FC709A">
            <w:pPr>
              <w:jc w:val="center"/>
              <w:rPr>
                <w:rFonts w:ascii="Times New Roman" w:hAnsi="Times New Roman" w:cs="Times New Roman"/>
                <w:b/>
              </w:rPr>
            </w:pPr>
            <w:r>
              <w:rPr>
                <w:rFonts w:ascii="Times New Roman" w:hAnsi="Times New Roman"/>
                <w:b/>
              </w:rPr>
              <w:t>2021</w:t>
            </w:r>
          </w:p>
        </w:tc>
      </w:tr>
      <w:tr w:rsidR="00740C24" w:rsidTr="00FC709A">
        <w:tc>
          <w:tcPr>
            <w:tcW w:w="2310" w:type="dxa"/>
          </w:tcPr>
          <w:p w:rsidR="00740C24" w:rsidRPr="00740C24" w:rsidRDefault="00740C24" w:rsidP="00FC709A">
            <w:pPr>
              <w:rPr>
                <w:rFonts w:ascii="Times New Roman" w:hAnsi="Times New Roman" w:cs="Times New Roman"/>
                <w:b/>
              </w:rPr>
            </w:pPr>
            <w:r>
              <w:rPr>
                <w:rFonts w:ascii="Times New Roman" w:hAnsi="Times New Roman"/>
              </w:rPr>
              <w:t>Mise à jour des recommandations en matière de lutte anti-infectieuse</w:t>
            </w:r>
          </w:p>
        </w:tc>
        <w:tc>
          <w:tcPr>
            <w:tcW w:w="2311" w:type="dxa"/>
          </w:tcPr>
          <w:p w:rsidR="00740C24" w:rsidRPr="00740C24" w:rsidRDefault="00740C24" w:rsidP="00FC709A">
            <w:pPr>
              <w:jc w:val="center"/>
              <w:rPr>
                <w:rFonts w:ascii="Times New Roman" w:hAnsi="Times New Roman" w:cs="Times New Roman"/>
                <w:b/>
              </w:rPr>
            </w:pPr>
            <w:r>
              <w:rPr>
                <w:rFonts w:ascii="Times New Roman" w:hAnsi="Times New Roman"/>
                <w:iCs/>
              </w:rPr>
              <w:t>Îles Cook, Kiribati, Samoa, Îles Salomon</w:t>
            </w:r>
          </w:p>
        </w:tc>
        <w:tc>
          <w:tcPr>
            <w:tcW w:w="2311" w:type="dxa"/>
          </w:tcPr>
          <w:p w:rsidR="00740C24" w:rsidRPr="00740C24" w:rsidRDefault="00740C24" w:rsidP="00FC709A">
            <w:pPr>
              <w:jc w:val="center"/>
              <w:rPr>
                <w:rFonts w:ascii="Times New Roman" w:hAnsi="Times New Roman" w:cs="Times New Roman"/>
                <w:b/>
              </w:rPr>
            </w:pPr>
            <w:r>
              <w:rPr>
                <w:rFonts w:ascii="Times New Roman" w:hAnsi="Times New Roman"/>
                <w:iCs/>
              </w:rPr>
              <w:t>États fédérés de Micronésie (</w:t>
            </w:r>
            <w:proofErr w:type="spellStart"/>
            <w:r>
              <w:rPr>
                <w:rFonts w:ascii="Times New Roman" w:hAnsi="Times New Roman"/>
                <w:iCs/>
              </w:rPr>
              <w:t>Chuuk</w:t>
            </w:r>
            <w:proofErr w:type="spellEnd"/>
            <w:r>
              <w:rPr>
                <w:rFonts w:ascii="Times New Roman" w:hAnsi="Times New Roman"/>
                <w:iCs/>
              </w:rPr>
              <w:t xml:space="preserve">, </w:t>
            </w:r>
            <w:proofErr w:type="spellStart"/>
            <w:r>
              <w:rPr>
                <w:rFonts w:ascii="Times New Roman" w:hAnsi="Times New Roman"/>
                <w:iCs/>
              </w:rPr>
              <w:t>Kosrae</w:t>
            </w:r>
            <w:proofErr w:type="spellEnd"/>
            <w:r>
              <w:rPr>
                <w:rFonts w:ascii="Times New Roman" w:hAnsi="Times New Roman"/>
                <w:iCs/>
              </w:rPr>
              <w:t xml:space="preserve">, </w:t>
            </w:r>
            <w:proofErr w:type="spellStart"/>
            <w:r>
              <w:rPr>
                <w:rFonts w:ascii="Times New Roman" w:hAnsi="Times New Roman"/>
                <w:iCs/>
              </w:rPr>
              <w:t>Pohnpei</w:t>
            </w:r>
            <w:proofErr w:type="spellEnd"/>
            <w:r>
              <w:rPr>
                <w:rFonts w:ascii="Times New Roman" w:hAnsi="Times New Roman"/>
                <w:iCs/>
              </w:rPr>
              <w:t>), Tonga</w:t>
            </w:r>
          </w:p>
        </w:tc>
        <w:tc>
          <w:tcPr>
            <w:tcW w:w="2311" w:type="dxa"/>
          </w:tcPr>
          <w:p w:rsidR="00740C24" w:rsidRPr="00740C24" w:rsidRDefault="00740C24" w:rsidP="00FC709A">
            <w:pPr>
              <w:jc w:val="center"/>
              <w:rPr>
                <w:rFonts w:ascii="Times New Roman" w:eastAsia="Times New Roman" w:hAnsi="Times New Roman" w:cs="Times New Roman"/>
                <w:iCs/>
              </w:rPr>
            </w:pPr>
            <w:r>
              <w:rPr>
                <w:rFonts w:ascii="Times New Roman" w:hAnsi="Times New Roman"/>
                <w:iCs/>
              </w:rPr>
              <w:t>Îles Salomon</w:t>
            </w:r>
          </w:p>
          <w:p w:rsidR="00740C24" w:rsidRPr="00740C24" w:rsidRDefault="00740C24" w:rsidP="00FC709A">
            <w:pPr>
              <w:jc w:val="center"/>
              <w:rPr>
                <w:rFonts w:ascii="Times New Roman" w:eastAsia="Times New Roman" w:hAnsi="Times New Roman" w:cs="Times New Roman"/>
                <w:iCs/>
              </w:rPr>
            </w:pPr>
            <w:r>
              <w:rPr>
                <w:rFonts w:ascii="Times New Roman" w:hAnsi="Times New Roman"/>
                <w:iCs/>
              </w:rPr>
              <w:t>Vanuatu</w:t>
            </w:r>
          </w:p>
          <w:p w:rsidR="00740C24" w:rsidRPr="00740C24" w:rsidRDefault="00740C24" w:rsidP="00FC709A">
            <w:pPr>
              <w:jc w:val="center"/>
              <w:rPr>
                <w:rFonts w:ascii="Times New Roman" w:eastAsia="Times New Roman" w:hAnsi="Times New Roman" w:cs="Times New Roman"/>
                <w:iCs/>
              </w:rPr>
            </w:pPr>
            <w:r>
              <w:rPr>
                <w:rFonts w:ascii="Times New Roman" w:hAnsi="Times New Roman"/>
                <w:iCs/>
              </w:rPr>
              <w:t>Niue</w:t>
            </w:r>
          </w:p>
          <w:p w:rsidR="00740C24" w:rsidRPr="00740C24" w:rsidRDefault="00740C24" w:rsidP="00FC709A">
            <w:pPr>
              <w:jc w:val="center"/>
              <w:rPr>
                <w:rFonts w:ascii="Times New Roman" w:hAnsi="Times New Roman" w:cs="Times New Roman"/>
                <w:b/>
              </w:rPr>
            </w:pPr>
            <w:r>
              <w:rPr>
                <w:rFonts w:ascii="Times New Roman" w:hAnsi="Times New Roman"/>
                <w:iCs/>
              </w:rPr>
              <w:t>Guam</w:t>
            </w:r>
          </w:p>
        </w:tc>
      </w:tr>
      <w:tr w:rsidR="00740C24" w:rsidTr="00FC709A">
        <w:tc>
          <w:tcPr>
            <w:tcW w:w="2310" w:type="dxa"/>
          </w:tcPr>
          <w:p w:rsidR="00740C24" w:rsidRPr="00740C24" w:rsidRDefault="00740C24" w:rsidP="00FC709A">
            <w:pPr>
              <w:rPr>
                <w:rFonts w:ascii="Times New Roman" w:hAnsi="Times New Roman" w:cs="Times New Roman"/>
                <w:b/>
              </w:rPr>
            </w:pPr>
            <w:r>
              <w:rPr>
                <w:rFonts w:ascii="Times New Roman" w:hAnsi="Times New Roman"/>
              </w:rPr>
              <w:t>Formation à la résistance aux antimicrobiens et à la microbiologie</w:t>
            </w:r>
          </w:p>
        </w:tc>
        <w:tc>
          <w:tcPr>
            <w:tcW w:w="2311" w:type="dxa"/>
          </w:tcPr>
          <w:p w:rsidR="00740C24" w:rsidRPr="00740C24" w:rsidRDefault="00740C24" w:rsidP="00FC709A">
            <w:pPr>
              <w:jc w:val="center"/>
              <w:rPr>
                <w:rFonts w:ascii="Times New Roman" w:hAnsi="Times New Roman" w:cs="Times New Roman"/>
                <w:b/>
              </w:rPr>
            </w:pPr>
            <w:r>
              <w:rPr>
                <w:rFonts w:ascii="Times New Roman" w:hAnsi="Times New Roman"/>
                <w:iCs/>
              </w:rPr>
              <w:t>Îles Cook, Fidji, Kiribati, Nauru, Îles Marshall, Samoa</w:t>
            </w:r>
          </w:p>
        </w:tc>
        <w:tc>
          <w:tcPr>
            <w:tcW w:w="2311" w:type="dxa"/>
          </w:tcPr>
          <w:p w:rsidR="00740C24" w:rsidRPr="00740C24" w:rsidRDefault="00740C24" w:rsidP="00FC709A">
            <w:pPr>
              <w:jc w:val="center"/>
              <w:rPr>
                <w:rFonts w:ascii="Times New Roman" w:hAnsi="Times New Roman" w:cs="Times New Roman"/>
                <w:b/>
              </w:rPr>
            </w:pPr>
            <w:r>
              <w:rPr>
                <w:rFonts w:ascii="Times New Roman" w:hAnsi="Times New Roman"/>
                <w:iCs/>
              </w:rPr>
              <w:t>États fédérés de Micronésie (</w:t>
            </w:r>
            <w:proofErr w:type="spellStart"/>
            <w:r>
              <w:rPr>
                <w:rFonts w:ascii="Times New Roman" w:hAnsi="Times New Roman"/>
                <w:iCs/>
              </w:rPr>
              <w:t>Chuuk</w:t>
            </w:r>
            <w:proofErr w:type="spellEnd"/>
            <w:r>
              <w:rPr>
                <w:rFonts w:ascii="Times New Roman" w:hAnsi="Times New Roman"/>
                <w:iCs/>
              </w:rPr>
              <w:t xml:space="preserve">, </w:t>
            </w:r>
            <w:proofErr w:type="spellStart"/>
            <w:r>
              <w:rPr>
                <w:rFonts w:ascii="Times New Roman" w:hAnsi="Times New Roman"/>
                <w:iCs/>
              </w:rPr>
              <w:t>Kosrae</w:t>
            </w:r>
            <w:proofErr w:type="spellEnd"/>
            <w:r>
              <w:rPr>
                <w:rFonts w:ascii="Times New Roman" w:hAnsi="Times New Roman"/>
                <w:iCs/>
              </w:rPr>
              <w:t xml:space="preserve">, </w:t>
            </w:r>
            <w:proofErr w:type="spellStart"/>
            <w:r>
              <w:rPr>
                <w:rFonts w:ascii="Times New Roman" w:hAnsi="Times New Roman"/>
                <w:iCs/>
              </w:rPr>
              <w:t>Pohnpei</w:t>
            </w:r>
            <w:proofErr w:type="spellEnd"/>
            <w:r>
              <w:rPr>
                <w:rFonts w:ascii="Times New Roman" w:hAnsi="Times New Roman"/>
                <w:iCs/>
              </w:rPr>
              <w:t>), Tonga</w:t>
            </w:r>
          </w:p>
        </w:tc>
        <w:tc>
          <w:tcPr>
            <w:tcW w:w="2311" w:type="dxa"/>
          </w:tcPr>
          <w:p w:rsidR="00740C24" w:rsidRPr="00740C24" w:rsidRDefault="00740C24" w:rsidP="00FC709A">
            <w:pPr>
              <w:jc w:val="center"/>
              <w:rPr>
                <w:rFonts w:ascii="Times New Roman" w:eastAsia="Times New Roman" w:hAnsi="Times New Roman" w:cs="Times New Roman"/>
                <w:iCs/>
              </w:rPr>
            </w:pPr>
            <w:r>
              <w:rPr>
                <w:rFonts w:ascii="Times New Roman" w:hAnsi="Times New Roman"/>
                <w:iCs/>
              </w:rPr>
              <w:t>Îles Salomon</w:t>
            </w:r>
          </w:p>
          <w:p w:rsidR="00740C24" w:rsidRPr="00740C24" w:rsidRDefault="00740C24" w:rsidP="00FC709A">
            <w:pPr>
              <w:jc w:val="center"/>
              <w:rPr>
                <w:rFonts w:ascii="Times New Roman" w:eastAsia="Times New Roman" w:hAnsi="Times New Roman" w:cs="Times New Roman"/>
                <w:iCs/>
              </w:rPr>
            </w:pPr>
            <w:r>
              <w:rPr>
                <w:rFonts w:ascii="Times New Roman" w:hAnsi="Times New Roman"/>
                <w:iCs/>
              </w:rPr>
              <w:t>Vanuatu</w:t>
            </w:r>
          </w:p>
          <w:p w:rsidR="00740C24" w:rsidRPr="00740C24" w:rsidRDefault="00740C24" w:rsidP="00FC709A">
            <w:pPr>
              <w:jc w:val="center"/>
              <w:rPr>
                <w:rFonts w:ascii="Times New Roman" w:eastAsia="Times New Roman" w:hAnsi="Times New Roman" w:cs="Times New Roman"/>
                <w:iCs/>
              </w:rPr>
            </w:pPr>
            <w:r>
              <w:rPr>
                <w:rFonts w:ascii="Times New Roman" w:hAnsi="Times New Roman"/>
                <w:iCs/>
              </w:rPr>
              <w:t>Niue</w:t>
            </w:r>
          </w:p>
          <w:p w:rsidR="00740C24" w:rsidRPr="00740C24" w:rsidRDefault="00740C24" w:rsidP="00FC709A">
            <w:pPr>
              <w:jc w:val="center"/>
              <w:rPr>
                <w:rFonts w:ascii="Times New Roman" w:hAnsi="Times New Roman" w:cs="Times New Roman"/>
                <w:b/>
              </w:rPr>
            </w:pPr>
            <w:r>
              <w:rPr>
                <w:rFonts w:ascii="Times New Roman" w:hAnsi="Times New Roman"/>
                <w:iCs/>
              </w:rPr>
              <w:t>Guam</w:t>
            </w:r>
          </w:p>
        </w:tc>
      </w:tr>
    </w:tbl>
    <w:p w:rsidR="00740C24" w:rsidRDefault="00740C24" w:rsidP="00740C24">
      <w:pPr>
        <w:spacing w:after="0" w:line="240" w:lineRule="auto"/>
        <w:jc w:val="center"/>
        <w:rPr>
          <w:rFonts w:ascii="Times New Roman" w:hAnsi="Times New Roman" w:cs="Times New Roman"/>
          <w:b/>
        </w:rPr>
      </w:pPr>
    </w:p>
    <w:p w:rsidR="00740C24" w:rsidRDefault="00740C24" w:rsidP="00740C24">
      <w:pPr>
        <w:spacing w:after="0" w:line="240" w:lineRule="auto"/>
        <w:jc w:val="center"/>
        <w:rPr>
          <w:rFonts w:ascii="Times New Roman" w:hAnsi="Times New Roman" w:cs="Times New Roman"/>
          <w:b/>
        </w:rPr>
      </w:pPr>
    </w:p>
    <w:p w:rsidR="00740C24" w:rsidRDefault="00740C24" w:rsidP="00740C24">
      <w:pPr>
        <w:spacing w:after="0" w:line="240" w:lineRule="auto"/>
        <w:rPr>
          <w:rFonts w:ascii="Times New Roman" w:hAnsi="Times New Roman" w:cs="Times New Roman"/>
          <w:b/>
        </w:rPr>
      </w:pPr>
      <w:r>
        <w:rPr>
          <w:rFonts w:ascii="Times New Roman" w:hAnsi="Times New Roman"/>
          <w:b/>
          <w:bCs/>
        </w:rPr>
        <w:t xml:space="preserve">Annexe 5. </w:t>
      </w:r>
      <w:r>
        <w:rPr>
          <w:rFonts w:ascii="Times New Roman" w:hAnsi="Times New Roman"/>
          <w:b/>
        </w:rPr>
        <w:t>Calendrier des activités relevant du programme SHIP/DDM, 2019–2020</w:t>
      </w:r>
    </w:p>
    <w:p w:rsidR="00740C24" w:rsidRPr="00106481" w:rsidRDefault="00740C24" w:rsidP="00740C24">
      <w:pPr>
        <w:spacing w:after="0" w:line="240" w:lineRule="auto"/>
        <w:rPr>
          <w:rFonts w:ascii="Times New Roman" w:hAnsi="Times New Roman" w:cs="Times New Roman"/>
          <w:b/>
        </w:rPr>
      </w:pPr>
    </w:p>
    <w:tbl>
      <w:tblPr>
        <w:tblW w:w="9098" w:type="dxa"/>
        <w:tblInd w:w="108" w:type="dxa"/>
        <w:tblLook w:val="04A0" w:firstRow="1" w:lastRow="0" w:firstColumn="1" w:lastColumn="0" w:noHBand="0" w:noVBand="1"/>
      </w:tblPr>
      <w:tblGrid>
        <w:gridCol w:w="491"/>
        <w:gridCol w:w="663"/>
        <w:gridCol w:w="2540"/>
        <w:gridCol w:w="2858"/>
        <w:gridCol w:w="2546"/>
      </w:tblGrid>
      <w:tr w:rsidR="00740C24" w:rsidRPr="0057123F" w:rsidTr="00FC709A">
        <w:trPr>
          <w:trHeight w:val="942"/>
        </w:trPr>
        <w:tc>
          <w:tcPr>
            <w:tcW w:w="491" w:type="dxa"/>
            <w:vMerge w:val="restart"/>
            <w:tcBorders>
              <w:top w:val="single" w:sz="4" w:space="0" w:color="auto"/>
              <w:left w:val="single" w:sz="4" w:space="0" w:color="auto"/>
              <w:bottom w:val="nil"/>
              <w:right w:val="single" w:sz="4" w:space="0" w:color="auto"/>
            </w:tcBorders>
            <w:shd w:val="clear" w:color="auto" w:fill="auto"/>
            <w:noWrap/>
            <w:textDirection w:val="btLr"/>
            <w:vAlign w:val="center"/>
            <w:hideMark/>
          </w:tcPr>
          <w:p w:rsidR="00740C24" w:rsidRPr="00F50FBB" w:rsidRDefault="00740C24" w:rsidP="00FC709A">
            <w:pPr>
              <w:spacing w:after="0" w:line="240" w:lineRule="auto"/>
              <w:jc w:val="center"/>
              <w:rPr>
                <w:rFonts w:ascii="Times New Roman" w:eastAsia="Times New Roman" w:hAnsi="Times New Roman" w:cs="Times New Roman"/>
                <w:b/>
                <w:bCs/>
                <w:color w:val="000000"/>
              </w:rPr>
            </w:pPr>
            <w:r>
              <w:rPr>
                <w:rFonts w:ascii="Times New Roman" w:hAnsi="Times New Roman"/>
                <w:b/>
                <w:bCs/>
                <w:color w:val="000000"/>
              </w:rPr>
              <w:t>Communauté du Pacifique (CPS)</w:t>
            </w:r>
          </w:p>
        </w:tc>
        <w:tc>
          <w:tcPr>
            <w:tcW w:w="66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0C24" w:rsidRPr="00F50FBB" w:rsidRDefault="00740C24" w:rsidP="00FC709A">
            <w:pPr>
              <w:spacing w:after="0" w:line="240" w:lineRule="auto"/>
              <w:jc w:val="center"/>
              <w:rPr>
                <w:rFonts w:ascii="Times New Roman" w:eastAsia="Times New Roman" w:hAnsi="Times New Roman" w:cs="Times New Roman"/>
                <w:color w:val="000000"/>
              </w:rPr>
            </w:pPr>
            <w:r>
              <w:rPr>
                <w:rFonts w:ascii="Times New Roman" w:hAnsi="Times New Roman"/>
                <w:color w:val="000000"/>
              </w:rPr>
              <w:t>2019</w:t>
            </w:r>
          </w:p>
        </w:tc>
        <w:tc>
          <w:tcPr>
            <w:tcW w:w="2540" w:type="dxa"/>
            <w:tcBorders>
              <w:top w:val="single" w:sz="4" w:space="0" w:color="auto"/>
              <w:left w:val="nil"/>
              <w:bottom w:val="single" w:sz="4" w:space="0" w:color="auto"/>
              <w:right w:val="nil"/>
            </w:tcBorders>
            <w:shd w:val="clear" w:color="000000" w:fill="E2EFDA"/>
            <w:hideMark/>
          </w:tcPr>
          <w:p w:rsidR="00740C24" w:rsidRPr="00F50FBB" w:rsidRDefault="00740C24" w:rsidP="00FC709A">
            <w:pPr>
              <w:spacing w:after="0" w:line="240" w:lineRule="auto"/>
              <w:rPr>
                <w:rFonts w:ascii="Times New Roman" w:eastAsia="Times New Roman" w:hAnsi="Times New Roman" w:cs="Times New Roman"/>
                <w:color w:val="000000"/>
              </w:rPr>
            </w:pPr>
            <w:r>
              <w:rPr>
                <w:rFonts w:ascii="Times New Roman" w:hAnsi="Times New Roman"/>
                <w:color w:val="000000"/>
              </w:rPr>
              <w:t xml:space="preserve">Cursus PGCFE suivi par un groupe sous-régional </w:t>
            </w:r>
            <w:r>
              <w:rPr>
                <w:rFonts w:ascii="Times New Roman" w:hAnsi="Times New Roman"/>
                <w:i/>
                <w:iCs/>
                <w:color w:val="000000"/>
              </w:rPr>
              <w:t>Fidji, Îles Salomon, Tokelau, Tonga, Tuvalu</w:t>
            </w:r>
          </w:p>
        </w:tc>
        <w:tc>
          <w:tcPr>
            <w:tcW w:w="5404" w:type="dxa"/>
            <w:gridSpan w:val="2"/>
            <w:tcBorders>
              <w:top w:val="single" w:sz="4" w:space="0" w:color="auto"/>
              <w:left w:val="single" w:sz="4" w:space="0" w:color="auto"/>
              <w:bottom w:val="single" w:sz="4" w:space="0" w:color="auto"/>
              <w:right w:val="single" w:sz="4" w:space="0" w:color="auto"/>
            </w:tcBorders>
            <w:shd w:val="clear" w:color="000000" w:fill="E2EFDA"/>
            <w:vAlign w:val="center"/>
            <w:hideMark/>
          </w:tcPr>
          <w:p w:rsidR="00740C24" w:rsidRPr="00F50FBB" w:rsidRDefault="00740C24" w:rsidP="00FC709A">
            <w:pPr>
              <w:spacing w:after="0" w:line="240" w:lineRule="auto"/>
              <w:rPr>
                <w:rFonts w:ascii="Times New Roman" w:eastAsia="Times New Roman" w:hAnsi="Times New Roman" w:cs="Times New Roman"/>
                <w:color w:val="000000"/>
              </w:rPr>
            </w:pPr>
            <w:r>
              <w:rPr>
                <w:rFonts w:ascii="Times New Roman" w:hAnsi="Times New Roman"/>
                <w:color w:val="000000"/>
              </w:rPr>
              <w:t>Élaboration de guides, l</w:t>
            </w:r>
            <w:r w:rsidR="00AD4EEC">
              <w:rPr>
                <w:rFonts w:ascii="Times New Roman" w:hAnsi="Times New Roman"/>
                <w:color w:val="000000"/>
              </w:rPr>
              <w:t>’</w:t>
            </w:r>
            <w:r>
              <w:rPr>
                <w:rFonts w:ascii="Times New Roman" w:hAnsi="Times New Roman"/>
                <w:color w:val="000000"/>
              </w:rPr>
              <w:t>un pour les formateurs l</w:t>
            </w:r>
            <w:r w:rsidR="00AD4EEC">
              <w:rPr>
                <w:rFonts w:ascii="Times New Roman" w:hAnsi="Times New Roman"/>
                <w:color w:val="000000"/>
              </w:rPr>
              <w:t>’</w:t>
            </w:r>
            <w:r>
              <w:rPr>
                <w:rFonts w:ascii="Times New Roman" w:hAnsi="Times New Roman"/>
                <w:color w:val="000000"/>
              </w:rPr>
              <w:t>autre pour les personnes suivant la formation</w:t>
            </w:r>
          </w:p>
        </w:tc>
      </w:tr>
      <w:tr w:rsidR="00740C24" w:rsidRPr="0057123F" w:rsidTr="00FC709A">
        <w:trPr>
          <w:trHeight w:val="959"/>
        </w:trPr>
        <w:tc>
          <w:tcPr>
            <w:tcW w:w="491" w:type="dxa"/>
            <w:vMerge/>
            <w:tcBorders>
              <w:top w:val="nil"/>
              <w:left w:val="single" w:sz="4" w:space="0" w:color="auto"/>
              <w:bottom w:val="nil"/>
              <w:right w:val="single" w:sz="4" w:space="0" w:color="auto"/>
            </w:tcBorders>
            <w:vAlign w:val="center"/>
            <w:hideMark/>
          </w:tcPr>
          <w:p w:rsidR="00740C24" w:rsidRPr="00106481" w:rsidRDefault="00740C24" w:rsidP="00FC709A">
            <w:pPr>
              <w:spacing w:after="0" w:line="240" w:lineRule="auto"/>
              <w:rPr>
                <w:rFonts w:ascii="Times New Roman" w:eastAsia="Times New Roman" w:hAnsi="Times New Roman" w:cs="Times New Roman"/>
                <w:b/>
                <w:bCs/>
                <w:color w:val="000000"/>
                <w:lang w:eastAsia="en-AU"/>
              </w:rPr>
            </w:pPr>
          </w:p>
        </w:tc>
        <w:tc>
          <w:tcPr>
            <w:tcW w:w="663" w:type="dxa"/>
            <w:vMerge/>
            <w:tcBorders>
              <w:top w:val="single" w:sz="4" w:space="0" w:color="auto"/>
              <w:left w:val="single" w:sz="4" w:space="0" w:color="auto"/>
              <w:bottom w:val="nil"/>
              <w:right w:val="single" w:sz="4" w:space="0" w:color="auto"/>
            </w:tcBorders>
            <w:vAlign w:val="center"/>
            <w:hideMark/>
          </w:tcPr>
          <w:p w:rsidR="00740C24" w:rsidRPr="00106481" w:rsidRDefault="00740C24" w:rsidP="00FC709A">
            <w:pPr>
              <w:spacing w:after="0" w:line="240" w:lineRule="auto"/>
              <w:rPr>
                <w:rFonts w:ascii="Times New Roman" w:eastAsia="Times New Roman" w:hAnsi="Times New Roman" w:cs="Times New Roman"/>
                <w:color w:val="000000"/>
                <w:lang w:eastAsia="en-AU"/>
              </w:rPr>
            </w:pPr>
          </w:p>
        </w:tc>
        <w:tc>
          <w:tcPr>
            <w:tcW w:w="2540" w:type="dxa"/>
            <w:vMerge w:val="restart"/>
            <w:tcBorders>
              <w:top w:val="single" w:sz="4" w:space="0" w:color="auto"/>
              <w:left w:val="single" w:sz="4" w:space="0" w:color="auto"/>
              <w:bottom w:val="single" w:sz="4" w:space="0" w:color="000000"/>
              <w:right w:val="single" w:sz="4" w:space="0" w:color="auto"/>
            </w:tcBorders>
            <w:shd w:val="clear" w:color="000000" w:fill="FFF2CC"/>
            <w:hideMark/>
          </w:tcPr>
          <w:p w:rsidR="00740C24" w:rsidRPr="00F50FBB" w:rsidRDefault="00740C24" w:rsidP="00FC709A">
            <w:pPr>
              <w:spacing w:after="0" w:line="240" w:lineRule="auto"/>
              <w:rPr>
                <w:rFonts w:ascii="Times New Roman" w:eastAsia="Times New Roman" w:hAnsi="Times New Roman" w:cs="Times New Roman"/>
                <w:color w:val="000000"/>
              </w:rPr>
            </w:pPr>
            <w:r>
              <w:rPr>
                <w:rFonts w:ascii="Times New Roman" w:hAnsi="Times New Roman"/>
                <w:color w:val="000000"/>
              </w:rPr>
              <w:t>Réunions de consultation organisées dans les pays autour du projet de mise en place d</w:t>
            </w:r>
            <w:r w:rsidR="00AD4EEC">
              <w:rPr>
                <w:rFonts w:ascii="Times New Roman" w:hAnsi="Times New Roman"/>
                <w:color w:val="000000"/>
              </w:rPr>
              <w:t>’</w:t>
            </w:r>
            <w:r>
              <w:rPr>
                <w:rFonts w:ascii="Times New Roman" w:hAnsi="Times New Roman"/>
                <w:color w:val="000000"/>
              </w:rPr>
              <w:t>un cursus PGCFE national</w:t>
            </w:r>
            <w:r w:rsidR="00F06779">
              <w:rPr>
                <w:rFonts w:ascii="Times New Roman" w:hAnsi="Times New Roman"/>
                <w:color w:val="000000"/>
              </w:rPr>
              <w:br/>
            </w:r>
            <w:r>
              <w:rPr>
                <w:rFonts w:ascii="Times New Roman" w:hAnsi="Times New Roman"/>
                <w:i/>
                <w:iCs/>
                <w:color w:val="000000"/>
              </w:rPr>
              <w:t>Îles Cook, Fidji, Kiribati, Nauru, Niue, Samoa, Tonga</w:t>
            </w:r>
          </w:p>
        </w:tc>
        <w:tc>
          <w:tcPr>
            <w:tcW w:w="2858" w:type="dxa"/>
            <w:tcBorders>
              <w:top w:val="single" w:sz="4" w:space="0" w:color="auto"/>
              <w:left w:val="nil"/>
              <w:bottom w:val="nil"/>
              <w:right w:val="single" w:sz="4" w:space="0" w:color="auto"/>
            </w:tcBorders>
            <w:shd w:val="clear" w:color="000000" w:fill="FFF2CC"/>
            <w:hideMark/>
          </w:tcPr>
          <w:p w:rsidR="00740C24" w:rsidRPr="00F50FBB" w:rsidRDefault="00740C24" w:rsidP="00FC709A">
            <w:pPr>
              <w:spacing w:after="0" w:line="240" w:lineRule="auto"/>
              <w:rPr>
                <w:rFonts w:ascii="Times New Roman" w:eastAsia="Times New Roman" w:hAnsi="Times New Roman" w:cs="Times New Roman"/>
                <w:color w:val="000000"/>
              </w:rPr>
            </w:pPr>
            <w:r>
              <w:rPr>
                <w:rFonts w:ascii="Times New Roman" w:hAnsi="Times New Roman"/>
                <w:color w:val="000000"/>
              </w:rPr>
              <w:t xml:space="preserve">Cursus PGCFE nationaux (modules 1 à 5) </w:t>
            </w:r>
            <w:r>
              <w:rPr>
                <w:rFonts w:ascii="Times New Roman" w:hAnsi="Times New Roman"/>
                <w:color w:val="000000"/>
              </w:rPr>
              <w:br/>
            </w:r>
            <w:r>
              <w:rPr>
                <w:rFonts w:ascii="Times New Roman" w:hAnsi="Times New Roman"/>
                <w:i/>
                <w:iCs/>
                <w:color w:val="000000"/>
              </w:rPr>
              <w:t>Îles Cook, Fidji, Kiribati, Nauru, Niue, Samoa, Tonga</w:t>
            </w:r>
          </w:p>
        </w:tc>
        <w:tc>
          <w:tcPr>
            <w:tcW w:w="2546" w:type="dxa"/>
            <w:tcBorders>
              <w:top w:val="single" w:sz="4" w:space="0" w:color="auto"/>
              <w:left w:val="nil"/>
              <w:bottom w:val="single" w:sz="4" w:space="0" w:color="auto"/>
              <w:right w:val="single" w:sz="4" w:space="0" w:color="auto"/>
            </w:tcBorders>
            <w:shd w:val="clear" w:color="000000" w:fill="DDEBF7"/>
            <w:vAlign w:val="center"/>
            <w:hideMark/>
          </w:tcPr>
          <w:p w:rsidR="00740C24" w:rsidRPr="00F50FBB" w:rsidRDefault="00740C24" w:rsidP="00FC709A">
            <w:pPr>
              <w:spacing w:after="0" w:line="240" w:lineRule="auto"/>
              <w:rPr>
                <w:rFonts w:ascii="Times New Roman" w:eastAsia="Times New Roman" w:hAnsi="Times New Roman" w:cs="Times New Roman"/>
                <w:color w:val="000000"/>
              </w:rPr>
            </w:pPr>
            <w:r>
              <w:rPr>
                <w:rFonts w:ascii="Times New Roman" w:hAnsi="Times New Roman"/>
                <w:color w:val="000000"/>
              </w:rPr>
              <w:t>Traduction française des supports de formation pour que les cours puissent être dispensés dans les pays francophones</w:t>
            </w:r>
          </w:p>
        </w:tc>
      </w:tr>
      <w:tr w:rsidR="00740C24" w:rsidRPr="0057123F" w:rsidTr="00FC709A">
        <w:trPr>
          <w:trHeight w:val="528"/>
        </w:trPr>
        <w:tc>
          <w:tcPr>
            <w:tcW w:w="491" w:type="dxa"/>
            <w:vMerge/>
            <w:tcBorders>
              <w:top w:val="nil"/>
              <w:left w:val="single" w:sz="4" w:space="0" w:color="auto"/>
              <w:bottom w:val="nil"/>
              <w:right w:val="single" w:sz="4" w:space="0" w:color="auto"/>
            </w:tcBorders>
            <w:vAlign w:val="center"/>
            <w:hideMark/>
          </w:tcPr>
          <w:p w:rsidR="00740C24" w:rsidRPr="00106481" w:rsidRDefault="00740C24" w:rsidP="00FC709A">
            <w:pPr>
              <w:spacing w:after="0" w:line="240" w:lineRule="auto"/>
              <w:rPr>
                <w:rFonts w:ascii="Times New Roman" w:eastAsia="Times New Roman" w:hAnsi="Times New Roman" w:cs="Times New Roman"/>
                <w:b/>
                <w:bCs/>
                <w:color w:val="000000"/>
                <w:lang w:eastAsia="en-AU"/>
              </w:rPr>
            </w:pPr>
          </w:p>
        </w:tc>
        <w:tc>
          <w:tcPr>
            <w:tcW w:w="66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40C24" w:rsidRPr="00F50FBB" w:rsidRDefault="00740C24" w:rsidP="00FC709A">
            <w:pPr>
              <w:spacing w:after="0" w:line="240" w:lineRule="auto"/>
              <w:jc w:val="center"/>
              <w:rPr>
                <w:rFonts w:ascii="Times New Roman" w:eastAsia="Times New Roman" w:hAnsi="Times New Roman" w:cs="Times New Roman"/>
                <w:color w:val="000000"/>
              </w:rPr>
            </w:pPr>
            <w:r>
              <w:rPr>
                <w:rFonts w:ascii="Times New Roman" w:hAnsi="Times New Roman"/>
                <w:color w:val="000000"/>
              </w:rPr>
              <w:t>2020</w:t>
            </w:r>
          </w:p>
        </w:tc>
        <w:tc>
          <w:tcPr>
            <w:tcW w:w="2540" w:type="dxa"/>
            <w:vMerge/>
            <w:tcBorders>
              <w:top w:val="single" w:sz="4" w:space="0" w:color="auto"/>
              <w:left w:val="single" w:sz="4" w:space="0" w:color="auto"/>
              <w:bottom w:val="single" w:sz="4" w:space="0" w:color="000000"/>
              <w:right w:val="single" w:sz="4" w:space="0" w:color="auto"/>
            </w:tcBorders>
            <w:vAlign w:val="center"/>
            <w:hideMark/>
          </w:tcPr>
          <w:p w:rsidR="00740C24" w:rsidRPr="00F50FBB" w:rsidRDefault="00740C24" w:rsidP="00FC709A">
            <w:pPr>
              <w:spacing w:after="0" w:line="240" w:lineRule="auto"/>
              <w:rPr>
                <w:rFonts w:ascii="Times New Roman" w:eastAsia="Times New Roman" w:hAnsi="Times New Roman" w:cs="Times New Roman"/>
                <w:color w:val="000000"/>
                <w:lang w:val="en-AU" w:eastAsia="en-AU"/>
              </w:rPr>
            </w:pPr>
          </w:p>
        </w:tc>
        <w:tc>
          <w:tcPr>
            <w:tcW w:w="2858" w:type="dxa"/>
            <w:tcBorders>
              <w:top w:val="single" w:sz="4" w:space="0" w:color="auto"/>
              <w:left w:val="nil"/>
              <w:bottom w:val="single" w:sz="4" w:space="0" w:color="auto"/>
              <w:right w:val="single" w:sz="4" w:space="0" w:color="auto"/>
            </w:tcBorders>
            <w:shd w:val="clear" w:color="000000" w:fill="DDEBF7"/>
            <w:hideMark/>
          </w:tcPr>
          <w:p w:rsidR="00740C24" w:rsidRPr="00F50FBB" w:rsidRDefault="00740C24" w:rsidP="00FC709A">
            <w:pPr>
              <w:spacing w:after="0" w:line="240" w:lineRule="auto"/>
              <w:rPr>
                <w:rFonts w:ascii="Times New Roman" w:eastAsia="Times New Roman" w:hAnsi="Times New Roman" w:cs="Times New Roman"/>
                <w:color w:val="000000"/>
              </w:rPr>
            </w:pPr>
            <w:r>
              <w:rPr>
                <w:rFonts w:ascii="Times New Roman" w:hAnsi="Times New Roman"/>
                <w:color w:val="000000"/>
              </w:rPr>
              <w:t>Formation des formateurs et des mentors</w:t>
            </w:r>
          </w:p>
        </w:tc>
        <w:tc>
          <w:tcPr>
            <w:tcW w:w="2546" w:type="dxa"/>
            <w:vMerge w:val="restart"/>
            <w:tcBorders>
              <w:top w:val="nil"/>
              <w:left w:val="single" w:sz="4" w:space="0" w:color="auto"/>
              <w:bottom w:val="single" w:sz="4" w:space="0" w:color="000000"/>
              <w:right w:val="single" w:sz="4" w:space="0" w:color="auto"/>
            </w:tcBorders>
            <w:shd w:val="clear" w:color="000000" w:fill="DDEBF7"/>
            <w:vAlign w:val="center"/>
            <w:hideMark/>
          </w:tcPr>
          <w:p w:rsidR="00740C24" w:rsidRPr="00F50FBB" w:rsidRDefault="00740C24" w:rsidP="00FC709A">
            <w:pPr>
              <w:spacing w:after="0" w:line="240" w:lineRule="auto"/>
              <w:rPr>
                <w:rFonts w:ascii="Times New Roman" w:eastAsia="Times New Roman" w:hAnsi="Times New Roman" w:cs="Times New Roman"/>
                <w:color w:val="000000"/>
              </w:rPr>
            </w:pPr>
            <w:r>
              <w:rPr>
                <w:rFonts w:ascii="Times New Roman" w:hAnsi="Times New Roman"/>
                <w:color w:val="000000"/>
              </w:rPr>
              <w:t>Travaux d</w:t>
            </w:r>
            <w:r w:rsidR="00AD4EEC">
              <w:rPr>
                <w:rFonts w:ascii="Times New Roman" w:hAnsi="Times New Roman"/>
                <w:color w:val="000000"/>
              </w:rPr>
              <w:t>’</w:t>
            </w:r>
            <w:r>
              <w:rPr>
                <w:rFonts w:ascii="Times New Roman" w:hAnsi="Times New Roman"/>
                <w:color w:val="000000"/>
              </w:rPr>
              <w:t>obtention de l</w:t>
            </w:r>
            <w:r w:rsidR="00AD4EEC">
              <w:rPr>
                <w:rFonts w:ascii="Times New Roman" w:hAnsi="Times New Roman"/>
                <w:color w:val="000000"/>
              </w:rPr>
              <w:t>’</w:t>
            </w:r>
            <w:r>
              <w:rPr>
                <w:rFonts w:ascii="Times New Roman" w:hAnsi="Times New Roman"/>
                <w:color w:val="000000"/>
              </w:rPr>
              <w:t>accréditation auprès d</w:t>
            </w:r>
            <w:r w:rsidR="00AD4EEC">
              <w:rPr>
                <w:rFonts w:ascii="Times New Roman" w:hAnsi="Times New Roman"/>
                <w:color w:val="000000"/>
              </w:rPr>
              <w:t>’</w:t>
            </w:r>
            <w:r>
              <w:rPr>
                <w:rFonts w:ascii="Times New Roman" w:hAnsi="Times New Roman"/>
                <w:color w:val="000000"/>
              </w:rPr>
              <w:t>une université française</w:t>
            </w:r>
          </w:p>
        </w:tc>
      </w:tr>
      <w:tr w:rsidR="00740C24" w:rsidRPr="0057123F" w:rsidTr="00FC709A">
        <w:trPr>
          <w:trHeight w:val="666"/>
        </w:trPr>
        <w:tc>
          <w:tcPr>
            <w:tcW w:w="491" w:type="dxa"/>
            <w:vMerge/>
            <w:tcBorders>
              <w:top w:val="nil"/>
              <w:left w:val="single" w:sz="4" w:space="0" w:color="auto"/>
              <w:bottom w:val="nil"/>
              <w:right w:val="single" w:sz="4" w:space="0" w:color="auto"/>
            </w:tcBorders>
            <w:vAlign w:val="center"/>
            <w:hideMark/>
          </w:tcPr>
          <w:p w:rsidR="00740C24" w:rsidRPr="00106481" w:rsidRDefault="00740C24" w:rsidP="00FC709A">
            <w:pPr>
              <w:spacing w:after="0" w:line="240" w:lineRule="auto"/>
              <w:rPr>
                <w:rFonts w:ascii="Times New Roman" w:eastAsia="Times New Roman" w:hAnsi="Times New Roman" w:cs="Times New Roman"/>
                <w:b/>
                <w:bCs/>
                <w:color w:val="000000"/>
                <w:lang w:eastAsia="en-AU"/>
              </w:rPr>
            </w:pPr>
          </w:p>
        </w:tc>
        <w:tc>
          <w:tcPr>
            <w:tcW w:w="663" w:type="dxa"/>
            <w:vMerge/>
            <w:tcBorders>
              <w:top w:val="single" w:sz="4" w:space="0" w:color="auto"/>
              <w:left w:val="single" w:sz="4" w:space="0" w:color="auto"/>
              <w:bottom w:val="single" w:sz="4" w:space="0" w:color="000000"/>
              <w:right w:val="single" w:sz="4" w:space="0" w:color="auto"/>
            </w:tcBorders>
            <w:vAlign w:val="center"/>
            <w:hideMark/>
          </w:tcPr>
          <w:p w:rsidR="00740C24" w:rsidRPr="00106481" w:rsidRDefault="00740C24" w:rsidP="00FC709A">
            <w:pPr>
              <w:spacing w:after="0" w:line="240" w:lineRule="auto"/>
              <w:rPr>
                <w:rFonts w:ascii="Times New Roman" w:eastAsia="Times New Roman" w:hAnsi="Times New Roman" w:cs="Times New Roman"/>
                <w:color w:val="000000"/>
                <w:lang w:eastAsia="en-AU"/>
              </w:rPr>
            </w:pPr>
          </w:p>
        </w:tc>
        <w:tc>
          <w:tcPr>
            <w:tcW w:w="2540" w:type="dxa"/>
            <w:vMerge w:val="restart"/>
            <w:tcBorders>
              <w:top w:val="nil"/>
              <w:left w:val="single" w:sz="4" w:space="0" w:color="auto"/>
              <w:bottom w:val="nil"/>
              <w:right w:val="single" w:sz="4" w:space="0" w:color="auto"/>
            </w:tcBorders>
            <w:shd w:val="clear" w:color="000000" w:fill="FFF2CC"/>
            <w:vAlign w:val="center"/>
            <w:hideMark/>
          </w:tcPr>
          <w:p w:rsidR="00740C24" w:rsidRPr="00F50FBB" w:rsidRDefault="00740C24" w:rsidP="00FC709A">
            <w:pPr>
              <w:spacing w:after="0" w:line="240" w:lineRule="auto"/>
              <w:rPr>
                <w:rFonts w:ascii="Times New Roman" w:eastAsia="Times New Roman" w:hAnsi="Times New Roman" w:cs="Times New Roman"/>
                <w:color w:val="000000"/>
              </w:rPr>
            </w:pPr>
            <w:r>
              <w:rPr>
                <w:rFonts w:ascii="Times New Roman" w:hAnsi="Times New Roman"/>
                <w:color w:val="000000"/>
              </w:rPr>
              <w:t>Cursus PGDAE</w:t>
            </w:r>
            <w:r w:rsidR="00AD4EEC">
              <w:rPr>
                <w:rFonts w:ascii="Times New Roman" w:hAnsi="Times New Roman"/>
                <w:color w:val="000000"/>
              </w:rPr>
              <w:t> :</w:t>
            </w:r>
            <w:r>
              <w:rPr>
                <w:rFonts w:ascii="Times New Roman" w:hAnsi="Times New Roman"/>
                <w:color w:val="000000"/>
              </w:rPr>
              <w:t xml:space="preserve"> Recherche opérationnelle</w:t>
            </w:r>
          </w:p>
        </w:tc>
        <w:tc>
          <w:tcPr>
            <w:tcW w:w="2858" w:type="dxa"/>
            <w:tcBorders>
              <w:top w:val="nil"/>
              <w:left w:val="nil"/>
              <w:bottom w:val="nil"/>
              <w:right w:val="single" w:sz="4" w:space="0" w:color="auto"/>
            </w:tcBorders>
            <w:shd w:val="clear" w:color="000000" w:fill="DDEBF7"/>
            <w:vAlign w:val="bottom"/>
            <w:hideMark/>
          </w:tcPr>
          <w:p w:rsidR="00740C24" w:rsidRPr="00F50FBB" w:rsidRDefault="00740C24" w:rsidP="00FC709A">
            <w:pPr>
              <w:spacing w:after="0" w:line="240" w:lineRule="auto"/>
              <w:rPr>
                <w:rFonts w:ascii="Times New Roman" w:eastAsia="Times New Roman" w:hAnsi="Times New Roman" w:cs="Times New Roman"/>
                <w:color w:val="000000"/>
              </w:rPr>
            </w:pPr>
            <w:r>
              <w:rPr>
                <w:rFonts w:ascii="Times New Roman" w:hAnsi="Times New Roman"/>
                <w:color w:val="000000"/>
              </w:rPr>
              <w:t>Cursus PGCFE nationaux en français (modules 1 à 5)</w:t>
            </w:r>
          </w:p>
        </w:tc>
        <w:tc>
          <w:tcPr>
            <w:tcW w:w="2546" w:type="dxa"/>
            <w:vMerge/>
            <w:tcBorders>
              <w:top w:val="nil"/>
              <w:left w:val="single" w:sz="4" w:space="0" w:color="auto"/>
              <w:bottom w:val="single" w:sz="4" w:space="0" w:color="000000"/>
              <w:right w:val="single" w:sz="4" w:space="0" w:color="auto"/>
            </w:tcBorders>
            <w:vAlign w:val="center"/>
            <w:hideMark/>
          </w:tcPr>
          <w:p w:rsidR="00740C24" w:rsidRPr="00106481" w:rsidRDefault="00740C24" w:rsidP="00FC709A">
            <w:pPr>
              <w:spacing w:after="0" w:line="240" w:lineRule="auto"/>
              <w:rPr>
                <w:rFonts w:ascii="Times New Roman" w:eastAsia="Times New Roman" w:hAnsi="Times New Roman" w:cs="Times New Roman"/>
                <w:color w:val="000000"/>
                <w:lang w:eastAsia="en-AU"/>
              </w:rPr>
            </w:pPr>
          </w:p>
        </w:tc>
      </w:tr>
      <w:tr w:rsidR="00740C24" w:rsidRPr="0057123F" w:rsidTr="00FC709A">
        <w:trPr>
          <w:trHeight w:val="350"/>
        </w:trPr>
        <w:tc>
          <w:tcPr>
            <w:tcW w:w="491" w:type="dxa"/>
            <w:vMerge/>
            <w:tcBorders>
              <w:top w:val="nil"/>
              <w:left w:val="single" w:sz="4" w:space="0" w:color="auto"/>
              <w:bottom w:val="single" w:sz="4" w:space="0" w:color="auto"/>
              <w:right w:val="single" w:sz="4" w:space="0" w:color="auto"/>
            </w:tcBorders>
            <w:vAlign w:val="center"/>
            <w:hideMark/>
          </w:tcPr>
          <w:p w:rsidR="00740C24" w:rsidRPr="00106481" w:rsidRDefault="00740C24" w:rsidP="00FC709A">
            <w:pPr>
              <w:spacing w:after="0" w:line="240" w:lineRule="auto"/>
              <w:rPr>
                <w:rFonts w:ascii="Times New Roman" w:eastAsia="Times New Roman" w:hAnsi="Times New Roman" w:cs="Times New Roman"/>
                <w:b/>
                <w:bCs/>
                <w:color w:val="000000"/>
                <w:lang w:eastAsia="en-AU"/>
              </w:rPr>
            </w:pPr>
          </w:p>
        </w:tc>
        <w:tc>
          <w:tcPr>
            <w:tcW w:w="663" w:type="dxa"/>
            <w:tcBorders>
              <w:top w:val="nil"/>
              <w:left w:val="nil"/>
              <w:bottom w:val="nil"/>
              <w:right w:val="single" w:sz="4" w:space="0" w:color="auto"/>
            </w:tcBorders>
            <w:shd w:val="clear" w:color="auto" w:fill="auto"/>
            <w:noWrap/>
            <w:vAlign w:val="center"/>
            <w:hideMark/>
          </w:tcPr>
          <w:p w:rsidR="00740C24" w:rsidRPr="00F50FBB" w:rsidRDefault="00740C24" w:rsidP="00FC709A">
            <w:pPr>
              <w:spacing w:after="0" w:line="240" w:lineRule="auto"/>
              <w:jc w:val="center"/>
              <w:rPr>
                <w:rFonts w:ascii="Times New Roman" w:eastAsia="Times New Roman" w:hAnsi="Times New Roman" w:cs="Times New Roman"/>
                <w:color w:val="000000"/>
              </w:rPr>
            </w:pPr>
            <w:r>
              <w:rPr>
                <w:rFonts w:ascii="Times New Roman" w:hAnsi="Times New Roman"/>
                <w:color w:val="000000"/>
              </w:rPr>
              <w:t>2021</w:t>
            </w:r>
          </w:p>
        </w:tc>
        <w:tc>
          <w:tcPr>
            <w:tcW w:w="2540" w:type="dxa"/>
            <w:vMerge/>
            <w:tcBorders>
              <w:top w:val="nil"/>
              <w:left w:val="single" w:sz="4" w:space="0" w:color="auto"/>
              <w:bottom w:val="nil"/>
              <w:right w:val="single" w:sz="4" w:space="0" w:color="auto"/>
            </w:tcBorders>
            <w:vAlign w:val="center"/>
            <w:hideMark/>
          </w:tcPr>
          <w:p w:rsidR="00740C24" w:rsidRPr="00F50FBB" w:rsidRDefault="00740C24" w:rsidP="00FC709A">
            <w:pPr>
              <w:spacing w:after="0" w:line="240" w:lineRule="auto"/>
              <w:rPr>
                <w:rFonts w:ascii="Times New Roman" w:eastAsia="Times New Roman" w:hAnsi="Times New Roman" w:cs="Times New Roman"/>
                <w:color w:val="000000"/>
                <w:lang w:val="en-AU" w:eastAsia="en-AU"/>
              </w:rPr>
            </w:pPr>
          </w:p>
        </w:tc>
        <w:tc>
          <w:tcPr>
            <w:tcW w:w="5404" w:type="dxa"/>
            <w:gridSpan w:val="2"/>
            <w:tcBorders>
              <w:top w:val="nil"/>
              <w:left w:val="nil"/>
              <w:bottom w:val="single" w:sz="4" w:space="0" w:color="auto"/>
              <w:right w:val="single" w:sz="4" w:space="0" w:color="000000"/>
            </w:tcBorders>
            <w:shd w:val="clear" w:color="000000" w:fill="DDEBF7"/>
            <w:hideMark/>
          </w:tcPr>
          <w:p w:rsidR="00740C24" w:rsidRPr="00F50FBB" w:rsidRDefault="00740C24" w:rsidP="00FC709A">
            <w:pPr>
              <w:spacing w:after="0" w:line="240" w:lineRule="auto"/>
              <w:rPr>
                <w:rFonts w:ascii="Times New Roman" w:eastAsia="Times New Roman" w:hAnsi="Times New Roman" w:cs="Times New Roman"/>
                <w:i/>
                <w:iCs/>
                <w:color w:val="000000"/>
              </w:rPr>
            </w:pPr>
            <w:r>
              <w:rPr>
                <w:rFonts w:ascii="Times New Roman" w:hAnsi="Times New Roman"/>
                <w:i/>
                <w:iCs/>
                <w:color w:val="000000"/>
              </w:rPr>
              <w:t>Nouvelle-Calédonie, Polynésie française, Wallis et Futuna</w:t>
            </w:r>
          </w:p>
        </w:tc>
      </w:tr>
      <w:tr w:rsidR="00740C24" w:rsidRPr="0057123F" w:rsidTr="00FC709A">
        <w:trPr>
          <w:trHeight w:val="217"/>
        </w:trPr>
        <w:tc>
          <w:tcPr>
            <w:tcW w:w="9098" w:type="dxa"/>
            <w:gridSpan w:val="5"/>
            <w:tcBorders>
              <w:top w:val="single" w:sz="4" w:space="0" w:color="auto"/>
              <w:left w:val="single" w:sz="4" w:space="0" w:color="auto"/>
              <w:bottom w:val="single" w:sz="4" w:space="0" w:color="auto"/>
              <w:right w:val="single" w:sz="4" w:space="0" w:color="000000"/>
            </w:tcBorders>
            <w:shd w:val="clear" w:color="auto" w:fill="D9D9D9" w:themeFill="background1" w:themeFillShade="D9"/>
            <w:noWrap/>
            <w:vAlign w:val="bottom"/>
            <w:hideMark/>
          </w:tcPr>
          <w:p w:rsidR="00740C24" w:rsidRPr="00F50FBB" w:rsidRDefault="00740C24" w:rsidP="00FC709A">
            <w:pPr>
              <w:spacing w:after="0" w:line="240" w:lineRule="auto"/>
              <w:jc w:val="center"/>
              <w:rPr>
                <w:rFonts w:ascii="Times New Roman" w:eastAsia="Times New Roman" w:hAnsi="Times New Roman" w:cs="Times New Roman"/>
                <w:color w:val="000000"/>
              </w:rPr>
            </w:pPr>
            <w:r>
              <w:rPr>
                <w:rFonts w:ascii="Times New Roman" w:hAnsi="Times New Roman"/>
                <w:color w:val="000000"/>
              </w:rPr>
              <w:t> </w:t>
            </w:r>
          </w:p>
        </w:tc>
      </w:tr>
      <w:tr w:rsidR="00740C24" w:rsidRPr="0057123F" w:rsidTr="00FC709A">
        <w:trPr>
          <w:trHeight w:val="509"/>
        </w:trPr>
        <w:tc>
          <w:tcPr>
            <w:tcW w:w="491" w:type="dxa"/>
            <w:vMerge w:val="restart"/>
            <w:tcBorders>
              <w:top w:val="single" w:sz="4" w:space="0" w:color="auto"/>
              <w:left w:val="single" w:sz="4" w:space="0" w:color="auto"/>
              <w:bottom w:val="nil"/>
              <w:right w:val="single" w:sz="4" w:space="0" w:color="auto"/>
            </w:tcBorders>
            <w:shd w:val="clear" w:color="auto" w:fill="auto"/>
            <w:noWrap/>
            <w:textDirection w:val="btLr"/>
            <w:vAlign w:val="center"/>
            <w:hideMark/>
          </w:tcPr>
          <w:p w:rsidR="00740C24" w:rsidRPr="00740C24" w:rsidRDefault="00740C24" w:rsidP="00FC709A">
            <w:pPr>
              <w:spacing w:after="0" w:line="240" w:lineRule="auto"/>
              <w:jc w:val="center"/>
              <w:rPr>
                <w:rFonts w:ascii="Times New Roman" w:eastAsia="Times New Roman" w:hAnsi="Times New Roman" w:cs="Times New Roman"/>
                <w:b/>
                <w:bCs/>
                <w:color w:val="000000"/>
              </w:rPr>
            </w:pPr>
            <w:r>
              <w:rPr>
                <w:rFonts w:ascii="Times New Roman" w:hAnsi="Times New Roman"/>
                <w:b/>
                <w:bCs/>
                <w:color w:val="000000"/>
              </w:rPr>
              <w:t>PIHOA / CDC</w:t>
            </w:r>
          </w:p>
        </w:tc>
        <w:tc>
          <w:tcPr>
            <w:tcW w:w="66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40C24" w:rsidRPr="00F50FBB" w:rsidRDefault="00740C24" w:rsidP="00FC709A">
            <w:pPr>
              <w:spacing w:after="0" w:line="240" w:lineRule="auto"/>
              <w:jc w:val="center"/>
              <w:rPr>
                <w:rFonts w:ascii="Times New Roman" w:eastAsia="Times New Roman" w:hAnsi="Times New Roman" w:cs="Times New Roman"/>
                <w:color w:val="000000"/>
              </w:rPr>
            </w:pPr>
            <w:r>
              <w:rPr>
                <w:rFonts w:ascii="Times New Roman" w:hAnsi="Times New Roman"/>
                <w:color w:val="000000"/>
              </w:rPr>
              <w:t>2019</w:t>
            </w:r>
          </w:p>
        </w:tc>
        <w:tc>
          <w:tcPr>
            <w:tcW w:w="2540" w:type="dxa"/>
            <w:vMerge w:val="restart"/>
            <w:tcBorders>
              <w:top w:val="nil"/>
              <w:left w:val="single" w:sz="4" w:space="0" w:color="auto"/>
              <w:bottom w:val="single" w:sz="4" w:space="0" w:color="000000"/>
              <w:right w:val="single" w:sz="4" w:space="0" w:color="auto"/>
            </w:tcBorders>
            <w:shd w:val="clear" w:color="000000" w:fill="E2EFDA"/>
            <w:hideMark/>
          </w:tcPr>
          <w:p w:rsidR="00740C24" w:rsidRPr="00F50FBB" w:rsidRDefault="00740C24" w:rsidP="00FC709A">
            <w:pPr>
              <w:spacing w:after="0" w:line="240" w:lineRule="auto"/>
              <w:rPr>
                <w:rFonts w:ascii="Times New Roman" w:eastAsia="Times New Roman" w:hAnsi="Times New Roman" w:cs="Times New Roman"/>
                <w:color w:val="000000"/>
              </w:rPr>
            </w:pPr>
            <w:r>
              <w:rPr>
                <w:rFonts w:ascii="Times New Roman" w:hAnsi="Times New Roman"/>
                <w:color w:val="000000"/>
              </w:rPr>
              <w:t>Cursus PGCFE nationaux (modules 1 à 5)</w:t>
            </w:r>
            <w:r w:rsidR="00B41872">
              <w:rPr>
                <w:rFonts w:ascii="Times New Roman" w:hAnsi="Times New Roman"/>
                <w:color w:val="000000"/>
              </w:rPr>
              <w:br/>
            </w:r>
            <w:r>
              <w:rPr>
                <w:rFonts w:ascii="Times New Roman" w:hAnsi="Times New Roman"/>
                <w:i/>
                <w:iCs/>
                <w:color w:val="000000"/>
              </w:rPr>
              <w:t>Îles Mariannes du Nord, Îles Marshall, Palau</w:t>
            </w:r>
          </w:p>
        </w:tc>
        <w:tc>
          <w:tcPr>
            <w:tcW w:w="2858" w:type="dxa"/>
            <w:vMerge w:val="restart"/>
            <w:tcBorders>
              <w:top w:val="nil"/>
              <w:left w:val="single" w:sz="4" w:space="0" w:color="auto"/>
              <w:bottom w:val="single" w:sz="4" w:space="0" w:color="000000"/>
              <w:right w:val="single" w:sz="4" w:space="0" w:color="auto"/>
            </w:tcBorders>
            <w:shd w:val="clear" w:color="000000" w:fill="DDEBF7"/>
            <w:hideMark/>
          </w:tcPr>
          <w:p w:rsidR="00740C24" w:rsidRPr="00F50FBB" w:rsidRDefault="00740C24" w:rsidP="00FC709A">
            <w:pPr>
              <w:spacing w:after="0" w:line="240" w:lineRule="auto"/>
              <w:rPr>
                <w:rFonts w:ascii="Times New Roman" w:eastAsia="Times New Roman" w:hAnsi="Times New Roman" w:cs="Times New Roman"/>
                <w:color w:val="000000"/>
              </w:rPr>
            </w:pPr>
            <w:r>
              <w:rPr>
                <w:rFonts w:ascii="Times New Roman" w:hAnsi="Times New Roman"/>
                <w:color w:val="000000"/>
              </w:rPr>
              <w:t>Cursus PGDAE nationaux</w:t>
            </w:r>
            <w:r w:rsidR="00AD4EEC">
              <w:rPr>
                <w:rFonts w:ascii="Times New Roman" w:hAnsi="Times New Roman"/>
                <w:color w:val="000000"/>
              </w:rPr>
              <w:t> :</w:t>
            </w:r>
            <w:r>
              <w:rPr>
                <w:rFonts w:ascii="Times New Roman" w:hAnsi="Times New Roman"/>
                <w:color w:val="000000"/>
              </w:rPr>
              <w:t xml:space="preserve"> Recherche opérationnelle </w:t>
            </w:r>
            <w:r>
              <w:rPr>
                <w:rFonts w:ascii="Times New Roman" w:hAnsi="Times New Roman"/>
                <w:i/>
                <w:iCs/>
                <w:color w:val="000000"/>
              </w:rPr>
              <w:t>Guam, États fédérés de Micronésie, Samoa américaines</w:t>
            </w:r>
          </w:p>
        </w:tc>
        <w:tc>
          <w:tcPr>
            <w:tcW w:w="2546"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740C24" w:rsidRPr="00F50FBB" w:rsidRDefault="00740C24" w:rsidP="00FC709A">
            <w:pPr>
              <w:spacing w:after="0" w:line="240" w:lineRule="auto"/>
              <w:jc w:val="center"/>
              <w:rPr>
                <w:rFonts w:ascii="Times New Roman" w:eastAsia="Times New Roman" w:hAnsi="Times New Roman" w:cs="Times New Roman"/>
                <w:color w:val="000000"/>
              </w:rPr>
            </w:pPr>
            <w:r>
              <w:rPr>
                <w:rFonts w:ascii="Times New Roman" w:hAnsi="Times New Roman"/>
                <w:color w:val="000000"/>
              </w:rPr>
              <w:t> </w:t>
            </w:r>
          </w:p>
        </w:tc>
      </w:tr>
      <w:tr w:rsidR="00740C24" w:rsidRPr="0057123F" w:rsidTr="00FC709A">
        <w:trPr>
          <w:trHeight w:val="509"/>
        </w:trPr>
        <w:tc>
          <w:tcPr>
            <w:tcW w:w="491" w:type="dxa"/>
            <w:vMerge/>
            <w:tcBorders>
              <w:top w:val="nil"/>
              <w:left w:val="single" w:sz="4" w:space="0" w:color="auto"/>
              <w:bottom w:val="nil"/>
              <w:right w:val="single" w:sz="4" w:space="0" w:color="auto"/>
            </w:tcBorders>
            <w:vAlign w:val="center"/>
            <w:hideMark/>
          </w:tcPr>
          <w:p w:rsidR="00740C24" w:rsidRPr="00106481" w:rsidRDefault="00740C24" w:rsidP="00FC709A">
            <w:pPr>
              <w:spacing w:after="0" w:line="240" w:lineRule="auto"/>
              <w:rPr>
                <w:rFonts w:ascii="Times New Roman" w:eastAsia="Times New Roman" w:hAnsi="Times New Roman" w:cs="Times New Roman"/>
                <w:b/>
                <w:bCs/>
                <w:color w:val="000000"/>
                <w:lang w:eastAsia="en-AU"/>
              </w:rPr>
            </w:pPr>
          </w:p>
        </w:tc>
        <w:tc>
          <w:tcPr>
            <w:tcW w:w="663" w:type="dxa"/>
            <w:vMerge/>
            <w:tcBorders>
              <w:top w:val="nil"/>
              <w:left w:val="single" w:sz="4" w:space="0" w:color="auto"/>
              <w:bottom w:val="single" w:sz="4" w:space="0" w:color="000000"/>
              <w:right w:val="single" w:sz="4" w:space="0" w:color="auto"/>
            </w:tcBorders>
            <w:vAlign w:val="center"/>
            <w:hideMark/>
          </w:tcPr>
          <w:p w:rsidR="00740C24" w:rsidRPr="00106481" w:rsidRDefault="00740C24" w:rsidP="00FC709A">
            <w:pPr>
              <w:spacing w:after="0" w:line="240" w:lineRule="auto"/>
              <w:rPr>
                <w:rFonts w:ascii="Times New Roman" w:eastAsia="Times New Roman" w:hAnsi="Times New Roman" w:cs="Times New Roman"/>
                <w:color w:val="000000"/>
                <w:lang w:eastAsia="en-AU"/>
              </w:rPr>
            </w:pPr>
          </w:p>
        </w:tc>
        <w:tc>
          <w:tcPr>
            <w:tcW w:w="2540" w:type="dxa"/>
            <w:vMerge/>
            <w:tcBorders>
              <w:top w:val="nil"/>
              <w:left w:val="single" w:sz="4" w:space="0" w:color="auto"/>
              <w:bottom w:val="single" w:sz="4" w:space="0" w:color="000000"/>
              <w:right w:val="single" w:sz="4" w:space="0" w:color="auto"/>
            </w:tcBorders>
            <w:vAlign w:val="center"/>
            <w:hideMark/>
          </w:tcPr>
          <w:p w:rsidR="00740C24" w:rsidRPr="00106481" w:rsidRDefault="00740C24" w:rsidP="00FC709A">
            <w:pPr>
              <w:spacing w:after="0" w:line="240" w:lineRule="auto"/>
              <w:rPr>
                <w:rFonts w:ascii="Times New Roman" w:eastAsia="Times New Roman" w:hAnsi="Times New Roman" w:cs="Times New Roman"/>
                <w:color w:val="000000"/>
                <w:lang w:eastAsia="en-AU"/>
              </w:rPr>
            </w:pPr>
          </w:p>
        </w:tc>
        <w:tc>
          <w:tcPr>
            <w:tcW w:w="2858" w:type="dxa"/>
            <w:vMerge/>
            <w:tcBorders>
              <w:top w:val="nil"/>
              <w:left w:val="single" w:sz="4" w:space="0" w:color="auto"/>
              <w:bottom w:val="single" w:sz="4" w:space="0" w:color="000000"/>
              <w:right w:val="single" w:sz="4" w:space="0" w:color="auto"/>
            </w:tcBorders>
            <w:vAlign w:val="center"/>
            <w:hideMark/>
          </w:tcPr>
          <w:p w:rsidR="00740C24" w:rsidRPr="00106481" w:rsidRDefault="00740C24" w:rsidP="00FC709A">
            <w:pPr>
              <w:spacing w:after="0" w:line="240" w:lineRule="auto"/>
              <w:rPr>
                <w:rFonts w:ascii="Times New Roman" w:eastAsia="Times New Roman" w:hAnsi="Times New Roman" w:cs="Times New Roman"/>
                <w:color w:val="000000"/>
                <w:lang w:eastAsia="en-AU"/>
              </w:rPr>
            </w:pPr>
          </w:p>
        </w:tc>
        <w:tc>
          <w:tcPr>
            <w:tcW w:w="2546" w:type="dxa"/>
            <w:vMerge/>
            <w:tcBorders>
              <w:top w:val="nil"/>
              <w:left w:val="single" w:sz="4" w:space="0" w:color="auto"/>
              <w:bottom w:val="single" w:sz="4" w:space="0" w:color="000000"/>
              <w:right w:val="single" w:sz="4" w:space="0" w:color="auto"/>
            </w:tcBorders>
            <w:vAlign w:val="center"/>
            <w:hideMark/>
          </w:tcPr>
          <w:p w:rsidR="00740C24" w:rsidRPr="00106481" w:rsidRDefault="00740C24" w:rsidP="00FC709A">
            <w:pPr>
              <w:spacing w:after="0" w:line="240" w:lineRule="auto"/>
              <w:rPr>
                <w:rFonts w:ascii="Times New Roman" w:eastAsia="Times New Roman" w:hAnsi="Times New Roman" w:cs="Times New Roman"/>
                <w:color w:val="000000"/>
                <w:lang w:eastAsia="en-AU"/>
              </w:rPr>
            </w:pPr>
          </w:p>
        </w:tc>
      </w:tr>
      <w:tr w:rsidR="00740C24" w:rsidRPr="0057123F" w:rsidTr="00FC709A">
        <w:trPr>
          <w:trHeight w:val="509"/>
        </w:trPr>
        <w:tc>
          <w:tcPr>
            <w:tcW w:w="491" w:type="dxa"/>
            <w:vMerge/>
            <w:tcBorders>
              <w:top w:val="nil"/>
              <w:left w:val="single" w:sz="4" w:space="0" w:color="auto"/>
              <w:bottom w:val="nil"/>
              <w:right w:val="single" w:sz="4" w:space="0" w:color="auto"/>
            </w:tcBorders>
            <w:vAlign w:val="center"/>
            <w:hideMark/>
          </w:tcPr>
          <w:p w:rsidR="00740C24" w:rsidRPr="00106481" w:rsidRDefault="00740C24" w:rsidP="00FC709A">
            <w:pPr>
              <w:spacing w:after="0" w:line="240" w:lineRule="auto"/>
              <w:rPr>
                <w:rFonts w:ascii="Times New Roman" w:eastAsia="Times New Roman" w:hAnsi="Times New Roman" w:cs="Times New Roman"/>
                <w:b/>
                <w:bCs/>
                <w:color w:val="000000"/>
                <w:lang w:eastAsia="en-AU"/>
              </w:rPr>
            </w:pPr>
          </w:p>
        </w:tc>
        <w:tc>
          <w:tcPr>
            <w:tcW w:w="663" w:type="dxa"/>
            <w:vMerge/>
            <w:tcBorders>
              <w:top w:val="nil"/>
              <w:left w:val="single" w:sz="4" w:space="0" w:color="auto"/>
              <w:bottom w:val="single" w:sz="4" w:space="0" w:color="000000"/>
              <w:right w:val="single" w:sz="4" w:space="0" w:color="auto"/>
            </w:tcBorders>
            <w:vAlign w:val="center"/>
            <w:hideMark/>
          </w:tcPr>
          <w:p w:rsidR="00740C24" w:rsidRPr="00106481" w:rsidRDefault="00740C24" w:rsidP="00FC709A">
            <w:pPr>
              <w:spacing w:after="0" w:line="240" w:lineRule="auto"/>
              <w:rPr>
                <w:rFonts w:ascii="Times New Roman" w:eastAsia="Times New Roman" w:hAnsi="Times New Roman" w:cs="Times New Roman"/>
                <w:color w:val="000000"/>
                <w:lang w:eastAsia="en-AU"/>
              </w:rPr>
            </w:pPr>
          </w:p>
        </w:tc>
        <w:tc>
          <w:tcPr>
            <w:tcW w:w="2540" w:type="dxa"/>
            <w:vMerge/>
            <w:tcBorders>
              <w:top w:val="nil"/>
              <w:left w:val="single" w:sz="4" w:space="0" w:color="auto"/>
              <w:bottom w:val="single" w:sz="4" w:space="0" w:color="000000"/>
              <w:right w:val="single" w:sz="4" w:space="0" w:color="auto"/>
            </w:tcBorders>
            <w:vAlign w:val="center"/>
            <w:hideMark/>
          </w:tcPr>
          <w:p w:rsidR="00740C24" w:rsidRPr="00106481" w:rsidRDefault="00740C24" w:rsidP="00FC709A">
            <w:pPr>
              <w:spacing w:after="0" w:line="240" w:lineRule="auto"/>
              <w:rPr>
                <w:rFonts w:ascii="Times New Roman" w:eastAsia="Times New Roman" w:hAnsi="Times New Roman" w:cs="Times New Roman"/>
                <w:color w:val="000000"/>
                <w:lang w:eastAsia="en-AU"/>
              </w:rPr>
            </w:pPr>
          </w:p>
        </w:tc>
        <w:tc>
          <w:tcPr>
            <w:tcW w:w="2858" w:type="dxa"/>
            <w:vMerge/>
            <w:tcBorders>
              <w:top w:val="nil"/>
              <w:left w:val="single" w:sz="4" w:space="0" w:color="auto"/>
              <w:bottom w:val="single" w:sz="4" w:space="0" w:color="000000"/>
              <w:right w:val="single" w:sz="4" w:space="0" w:color="auto"/>
            </w:tcBorders>
            <w:vAlign w:val="center"/>
            <w:hideMark/>
          </w:tcPr>
          <w:p w:rsidR="00740C24" w:rsidRPr="00106481" w:rsidRDefault="00740C24" w:rsidP="00FC709A">
            <w:pPr>
              <w:spacing w:after="0" w:line="240" w:lineRule="auto"/>
              <w:rPr>
                <w:rFonts w:ascii="Times New Roman" w:eastAsia="Times New Roman" w:hAnsi="Times New Roman" w:cs="Times New Roman"/>
                <w:color w:val="000000"/>
                <w:lang w:eastAsia="en-AU"/>
              </w:rPr>
            </w:pPr>
          </w:p>
        </w:tc>
        <w:tc>
          <w:tcPr>
            <w:tcW w:w="2546" w:type="dxa"/>
            <w:vMerge/>
            <w:tcBorders>
              <w:top w:val="nil"/>
              <w:left w:val="single" w:sz="4" w:space="0" w:color="auto"/>
              <w:bottom w:val="single" w:sz="4" w:space="0" w:color="auto"/>
              <w:right w:val="single" w:sz="4" w:space="0" w:color="auto"/>
            </w:tcBorders>
            <w:vAlign w:val="center"/>
            <w:hideMark/>
          </w:tcPr>
          <w:p w:rsidR="00740C24" w:rsidRPr="00106481" w:rsidRDefault="00740C24" w:rsidP="00FC709A">
            <w:pPr>
              <w:spacing w:after="0" w:line="240" w:lineRule="auto"/>
              <w:rPr>
                <w:rFonts w:ascii="Times New Roman" w:eastAsia="Times New Roman" w:hAnsi="Times New Roman" w:cs="Times New Roman"/>
                <w:color w:val="000000"/>
                <w:lang w:eastAsia="en-AU"/>
              </w:rPr>
            </w:pPr>
          </w:p>
        </w:tc>
      </w:tr>
      <w:tr w:rsidR="00740C24" w:rsidRPr="0057123F" w:rsidTr="00FC709A">
        <w:trPr>
          <w:trHeight w:val="999"/>
        </w:trPr>
        <w:tc>
          <w:tcPr>
            <w:tcW w:w="491" w:type="dxa"/>
            <w:vMerge/>
            <w:tcBorders>
              <w:top w:val="nil"/>
              <w:left w:val="single" w:sz="4" w:space="0" w:color="auto"/>
              <w:bottom w:val="nil"/>
              <w:right w:val="single" w:sz="4" w:space="0" w:color="auto"/>
            </w:tcBorders>
            <w:vAlign w:val="center"/>
            <w:hideMark/>
          </w:tcPr>
          <w:p w:rsidR="00740C24" w:rsidRPr="00106481" w:rsidRDefault="00740C24" w:rsidP="00FC709A">
            <w:pPr>
              <w:spacing w:after="0" w:line="240" w:lineRule="auto"/>
              <w:rPr>
                <w:rFonts w:ascii="Times New Roman" w:eastAsia="Times New Roman" w:hAnsi="Times New Roman" w:cs="Times New Roman"/>
                <w:b/>
                <w:bCs/>
                <w:color w:val="000000"/>
                <w:lang w:eastAsia="en-AU"/>
              </w:rPr>
            </w:pPr>
          </w:p>
        </w:tc>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740C24" w:rsidRPr="00F50FBB" w:rsidRDefault="00740C24" w:rsidP="00FC709A">
            <w:pPr>
              <w:spacing w:after="0" w:line="240" w:lineRule="auto"/>
              <w:jc w:val="center"/>
              <w:rPr>
                <w:rFonts w:ascii="Times New Roman" w:eastAsia="Times New Roman" w:hAnsi="Times New Roman" w:cs="Times New Roman"/>
                <w:color w:val="000000"/>
              </w:rPr>
            </w:pPr>
            <w:r>
              <w:rPr>
                <w:rFonts w:ascii="Times New Roman" w:hAnsi="Times New Roman"/>
                <w:color w:val="000000"/>
              </w:rPr>
              <w:t>2020</w:t>
            </w:r>
          </w:p>
        </w:tc>
        <w:tc>
          <w:tcPr>
            <w:tcW w:w="2540" w:type="dxa"/>
            <w:tcBorders>
              <w:top w:val="nil"/>
              <w:left w:val="single" w:sz="4" w:space="0" w:color="auto"/>
              <w:bottom w:val="single" w:sz="4" w:space="0" w:color="auto"/>
              <w:right w:val="single" w:sz="4" w:space="0" w:color="auto"/>
            </w:tcBorders>
            <w:shd w:val="clear" w:color="000000" w:fill="FFF2CC"/>
            <w:hideMark/>
          </w:tcPr>
          <w:p w:rsidR="00740C24" w:rsidRPr="00F50FBB" w:rsidRDefault="00740C24" w:rsidP="00FC709A">
            <w:pPr>
              <w:spacing w:after="0" w:line="240" w:lineRule="auto"/>
              <w:rPr>
                <w:rFonts w:ascii="Times New Roman" w:eastAsia="Times New Roman" w:hAnsi="Times New Roman" w:cs="Times New Roman"/>
                <w:color w:val="000000"/>
              </w:rPr>
            </w:pPr>
            <w:r>
              <w:rPr>
                <w:rFonts w:ascii="Times New Roman" w:hAnsi="Times New Roman"/>
                <w:color w:val="000000"/>
              </w:rPr>
              <w:t>Cursus PGDAE nationaux</w:t>
            </w:r>
            <w:r w:rsidR="00AD4EEC">
              <w:rPr>
                <w:rFonts w:ascii="Times New Roman" w:hAnsi="Times New Roman"/>
                <w:color w:val="000000"/>
              </w:rPr>
              <w:t> :</w:t>
            </w:r>
            <w:r>
              <w:rPr>
                <w:rFonts w:ascii="Times New Roman" w:hAnsi="Times New Roman"/>
                <w:color w:val="000000"/>
              </w:rPr>
              <w:t xml:space="preserve"> Recherche opérationnelle</w:t>
            </w:r>
            <w:r w:rsidR="00B27968">
              <w:rPr>
                <w:rFonts w:ascii="Times New Roman" w:hAnsi="Times New Roman"/>
                <w:color w:val="000000"/>
              </w:rPr>
              <w:br/>
            </w:r>
            <w:r>
              <w:rPr>
                <w:rFonts w:ascii="Times New Roman" w:hAnsi="Times New Roman"/>
                <w:i/>
                <w:iCs/>
                <w:color w:val="000000"/>
              </w:rPr>
              <w:t xml:space="preserve">Îles Mariannes du Nord, Îles Marshall, Palau </w:t>
            </w:r>
          </w:p>
        </w:tc>
        <w:tc>
          <w:tcPr>
            <w:tcW w:w="2858" w:type="dxa"/>
            <w:tcBorders>
              <w:top w:val="nil"/>
              <w:left w:val="single" w:sz="4" w:space="0" w:color="auto"/>
              <w:bottom w:val="single" w:sz="4" w:space="0" w:color="auto"/>
              <w:right w:val="single" w:sz="4" w:space="0" w:color="auto"/>
            </w:tcBorders>
            <w:shd w:val="clear" w:color="000000" w:fill="FFF2CC"/>
            <w:hideMark/>
          </w:tcPr>
          <w:p w:rsidR="00740C24" w:rsidRPr="00F50FBB" w:rsidRDefault="00740C24" w:rsidP="00FC709A">
            <w:pPr>
              <w:spacing w:after="0" w:line="240" w:lineRule="auto"/>
              <w:rPr>
                <w:rFonts w:ascii="Times New Roman" w:eastAsia="Times New Roman" w:hAnsi="Times New Roman" w:cs="Times New Roman"/>
                <w:color w:val="000000"/>
              </w:rPr>
            </w:pPr>
            <w:r>
              <w:rPr>
                <w:rFonts w:ascii="Times New Roman" w:hAnsi="Times New Roman"/>
                <w:color w:val="000000"/>
              </w:rPr>
              <w:t>Cursus MAE nationaux (masters)</w:t>
            </w:r>
            <w:r w:rsidR="002436A4">
              <w:rPr>
                <w:rFonts w:ascii="Times New Roman" w:hAnsi="Times New Roman"/>
                <w:color w:val="000000"/>
              </w:rPr>
              <w:br/>
            </w:r>
            <w:r>
              <w:rPr>
                <w:rFonts w:ascii="Times New Roman" w:hAnsi="Times New Roman"/>
                <w:i/>
                <w:iCs/>
                <w:color w:val="000000"/>
              </w:rPr>
              <w:t>Guam, États fédérés de Micronésie, Samoa américaines</w:t>
            </w:r>
          </w:p>
        </w:tc>
        <w:tc>
          <w:tcPr>
            <w:tcW w:w="2546" w:type="dxa"/>
            <w:tcBorders>
              <w:top w:val="single" w:sz="4" w:space="0" w:color="auto"/>
              <w:left w:val="single" w:sz="4" w:space="0" w:color="auto"/>
              <w:bottom w:val="single" w:sz="4" w:space="0" w:color="auto"/>
              <w:right w:val="single" w:sz="4" w:space="0" w:color="auto"/>
            </w:tcBorders>
            <w:shd w:val="clear" w:color="000000" w:fill="FFF2CC"/>
            <w:hideMark/>
          </w:tcPr>
          <w:p w:rsidR="00740C24" w:rsidRPr="00F50FBB" w:rsidRDefault="00740C24" w:rsidP="00FC709A">
            <w:pPr>
              <w:spacing w:after="0" w:line="240" w:lineRule="auto"/>
              <w:rPr>
                <w:rFonts w:ascii="Times New Roman" w:eastAsia="Times New Roman" w:hAnsi="Times New Roman" w:cs="Times New Roman"/>
                <w:color w:val="000000"/>
              </w:rPr>
            </w:pPr>
            <w:r>
              <w:rPr>
                <w:rFonts w:ascii="Times New Roman" w:hAnsi="Times New Roman"/>
                <w:color w:val="000000"/>
              </w:rPr>
              <w:t>Cursus PGCFE nationaux (modules 1 à 5)</w:t>
            </w:r>
            <w:r w:rsidR="002436A4">
              <w:rPr>
                <w:rFonts w:ascii="Times New Roman" w:hAnsi="Times New Roman"/>
                <w:color w:val="000000"/>
              </w:rPr>
              <w:br/>
            </w:r>
            <w:r>
              <w:rPr>
                <w:rFonts w:ascii="Times New Roman" w:hAnsi="Times New Roman"/>
                <w:i/>
                <w:iCs/>
                <w:color w:val="000000"/>
              </w:rPr>
              <w:t>Guam, États fédérés de Micronésie, Samoa américaines</w:t>
            </w:r>
            <w:r>
              <w:rPr>
                <w:rFonts w:ascii="Times New Roman" w:hAnsi="Times New Roman"/>
                <w:color w:val="000000"/>
              </w:rPr>
              <w:t xml:space="preserve"> (nouveau groupe)</w:t>
            </w:r>
          </w:p>
        </w:tc>
      </w:tr>
      <w:tr w:rsidR="00740C24" w:rsidRPr="0057123F" w:rsidTr="00FC709A">
        <w:trPr>
          <w:trHeight w:val="509"/>
        </w:trPr>
        <w:tc>
          <w:tcPr>
            <w:tcW w:w="491" w:type="dxa"/>
            <w:vMerge/>
            <w:tcBorders>
              <w:top w:val="nil"/>
              <w:left w:val="single" w:sz="4" w:space="0" w:color="auto"/>
              <w:bottom w:val="nil"/>
              <w:right w:val="single" w:sz="4" w:space="0" w:color="auto"/>
            </w:tcBorders>
            <w:vAlign w:val="center"/>
            <w:hideMark/>
          </w:tcPr>
          <w:p w:rsidR="00740C24" w:rsidRPr="00106481" w:rsidRDefault="00740C24" w:rsidP="00FC709A">
            <w:pPr>
              <w:spacing w:after="0" w:line="240" w:lineRule="auto"/>
              <w:rPr>
                <w:rFonts w:ascii="Times New Roman" w:eastAsia="Times New Roman" w:hAnsi="Times New Roman" w:cs="Times New Roman"/>
                <w:b/>
                <w:bCs/>
                <w:color w:val="000000"/>
                <w:lang w:eastAsia="en-AU"/>
              </w:rPr>
            </w:pPr>
          </w:p>
        </w:tc>
        <w:tc>
          <w:tcPr>
            <w:tcW w:w="6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40C24" w:rsidRPr="00F50FBB" w:rsidRDefault="00740C24" w:rsidP="00FC709A">
            <w:pPr>
              <w:spacing w:after="0" w:line="240" w:lineRule="auto"/>
              <w:jc w:val="center"/>
              <w:rPr>
                <w:rFonts w:ascii="Times New Roman" w:eastAsia="Times New Roman" w:hAnsi="Times New Roman" w:cs="Times New Roman"/>
                <w:color w:val="000000"/>
              </w:rPr>
            </w:pPr>
            <w:r>
              <w:rPr>
                <w:rFonts w:ascii="Times New Roman" w:hAnsi="Times New Roman"/>
                <w:color w:val="000000"/>
              </w:rPr>
              <w:t>2021</w:t>
            </w:r>
          </w:p>
        </w:tc>
        <w:tc>
          <w:tcPr>
            <w:tcW w:w="2540" w:type="dxa"/>
            <w:vMerge w:val="restart"/>
            <w:tcBorders>
              <w:top w:val="nil"/>
              <w:left w:val="single" w:sz="4" w:space="0" w:color="auto"/>
              <w:bottom w:val="single" w:sz="4" w:space="0" w:color="auto"/>
              <w:right w:val="single" w:sz="4" w:space="0" w:color="auto"/>
            </w:tcBorders>
            <w:shd w:val="clear" w:color="000000" w:fill="DDEBF7"/>
            <w:hideMark/>
          </w:tcPr>
          <w:p w:rsidR="00740C24" w:rsidRPr="00F50FBB" w:rsidRDefault="00740C24" w:rsidP="00FC709A">
            <w:pPr>
              <w:spacing w:after="0" w:line="240" w:lineRule="auto"/>
              <w:rPr>
                <w:rFonts w:ascii="Times New Roman" w:eastAsia="Times New Roman" w:hAnsi="Times New Roman" w:cs="Times New Roman"/>
                <w:color w:val="000000"/>
              </w:rPr>
            </w:pPr>
            <w:r>
              <w:rPr>
                <w:rFonts w:ascii="Times New Roman" w:hAnsi="Times New Roman"/>
                <w:color w:val="000000"/>
              </w:rPr>
              <w:t>Cursus MAE nationaux (masters)</w:t>
            </w:r>
            <w:r w:rsidR="007A031C">
              <w:rPr>
                <w:rFonts w:ascii="Times New Roman" w:hAnsi="Times New Roman"/>
                <w:color w:val="000000"/>
              </w:rPr>
              <w:br/>
            </w:r>
            <w:r>
              <w:rPr>
                <w:rFonts w:ascii="Times New Roman" w:hAnsi="Times New Roman"/>
                <w:i/>
                <w:iCs/>
                <w:color w:val="000000"/>
              </w:rPr>
              <w:t>Îles Mariannes du Nord, Îles Marshall, Palau</w:t>
            </w:r>
          </w:p>
        </w:tc>
        <w:tc>
          <w:tcPr>
            <w:tcW w:w="2858" w:type="dxa"/>
            <w:vMerge w:val="restart"/>
            <w:tcBorders>
              <w:top w:val="nil"/>
              <w:left w:val="single" w:sz="4" w:space="0" w:color="auto"/>
              <w:bottom w:val="single" w:sz="4" w:space="0" w:color="auto"/>
              <w:right w:val="single" w:sz="4" w:space="0" w:color="auto"/>
            </w:tcBorders>
            <w:shd w:val="clear" w:color="000000" w:fill="DDEBF7"/>
            <w:hideMark/>
          </w:tcPr>
          <w:p w:rsidR="00740C24" w:rsidRPr="00F50FBB" w:rsidRDefault="00740C24" w:rsidP="00FC709A">
            <w:pPr>
              <w:spacing w:after="0" w:line="240" w:lineRule="auto"/>
              <w:rPr>
                <w:rFonts w:ascii="Times New Roman" w:eastAsia="Times New Roman" w:hAnsi="Times New Roman" w:cs="Times New Roman"/>
                <w:color w:val="000000"/>
              </w:rPr>
            </w:pPr>
            <w:r>
              <w:rPr>
                <w:rFonts w:ascii="Times New Roman" w:hAnsi="Times New Roman"/>
                <w:color w:val="000000"/>
              </w:rPr>
              <w:t>Cursus PGDAE nationaux</w:t>
            </w:r>
            <w:r w:rsidR="00AD4EEC">
              <w:rPr>
                <w:rFonts w:ascii="Times New Roman" w:hAnsi="Times New Roman"/>
                <w:color w:val="000000"/>
              </w:rPr>
              <w:t> :</w:t>
            </w:r>
            <w:r>
              <w:rPr>
                <w:rFonts w:ascii="Times New Roman" w:hAnsi="Times New Roman"/>
                <w:color w:val="000000"/>
              </w:rPr>
              <w:t xml:space="preserve"> Recherche opérationnelle </w:t>
            </w:r>
            <w:proofErr w:type="spellStart"/>
            <w:r>
              <w:rPr>
                <w:rFonts w:ascii="Times New Roman" w:hAnsi="Times New Roman"/>
                <w:i/>
                <w:iCs/>
                <w:color w:val="000000"/>
              </w:rPr>
              <w:t>Chuuk</w:t>
            </w:r>
            <w:proofErr w:type="spellEnd"/>
            <w:r>
              <w:rPr>
                <w:rFonts w:ascii="Times New Roman" w:hAnsi="Times New Roman"/>
                <w:i/>
                <w:iCs/>
                <w:color w:val="000000"/>
              </w:rPr>
              <w:t xml:space="preserve">, </w:t>
            </w:r>
            <w:proofErr w:type="spellStart"/>
            <w:r>
              <w:rPr>
                <w:rFonts w:ascii="Times New Roman" w:hAnsi="Times New Roman"/>
                <w:i/>
                <w:iCs/>
                <w:color w:val="000000"/>
              </w:rPr>
              <w:t>Kosrae</w:t>
            </w:r>
            <w:proofErr w:type="spellEnd"/>
            <w:r>
              <w:rPr>
                <w:rFonts w:ascii="Times New Roman" w:hAnsi="Times New Roman"/>
                <w:i/>
                <w:iCs/>
                <w:color w:val="000000"/>
              </w:rPr>
              <w:t xml:space="preserve">, Yap </w:t>
            </w:r>
          </w:p>
        </w:tc>
        <w:tc>
          <w:tcPr>
            <w:tcW w:w="2546" w:type="dxa"/>
            <w:vMerge w:val="restart"/>
            <w:tcBorders>
              <w:top w:val="single" w:sz="4" w:space="0" w:color="auto"/>
              <w:left w:val="single" w:sz="4" w:space="0" w:color="auto"/>
              <w:bottom w:val="single" w:sz="4" w:space="0" w:color="auto"/>
              <w:right w:val="single" w:sz="4" w:space="0" w:color="auto"/>
            </w:tcBorders>
            <w:shd w:val="clear" w:color="000000" w:fill="DDEBF7"/>
            <w:hideMark/>
          </w:tcPr>
          <w:p w:rsidR="00740C24" w:rsidRPr="00106481" w:rsidRDefault="00740C24" w:rsidP="00FC709A">
            <w:pPr>
              <w:spacing w:after="0" w:line="240" w:lineRule="auto"/>
              <w:rPr>
                <w:rFonts w:ascii="Times New Roman" w:eastAsia="Times New Roman" w:hAnsi="Times New Roman" w:cs="Times New Roman"/>
                <w:color w:val="000000"/>
                <w:lang w:eastAsia="en-AU"/>
              </w:rPr>
            </w:pPr>
          </w:p>
        </w:tc>
      </w:tr>
      <w:tr w:rsidR="00740C24" w:rsidRPr="0057123F" w:rsidTr="002436A4">
        <w:trPr>
          <w:trHeight w:val="509"/>
        </w:trPr>
        <w:tc>
          <w:tcPr>
            <w:tcW w:w="491" w:type="dxa"/>
            <w:vMerge/>
            <w:tcBorders>
              <w:top w:val="nil"/>
              <w:left w:val="single" w:sz="4" w:space="0" w:color="auto"/>
              <w:bottom w:val="nil"/>
              <w:right w:val="single" w:sz="4" w:space="0" w:color="auto"/>
            </w:tcBorders>
            <w:vAlign w:val="center"/>
            <w:hideMark/>
          </w:tcPr>
          <w:p w:rsidR="00740C24" w:rsidRPr="00106481" w:rsidRDefault="00740C24" w:rsidP="00FC709A">
            <w:pPr>
              <w:spacing w:after="0" w:line="240" w:lineRule="auto"/>
              <w:rPr>
                <w:rFonts w:ascii="Times New Roman" w:eastAsia="Times New Roman" w:hAnsi="Times New Roman" w:cs="Times New Roman"/>
                <w:b/>
                <w:bCs/>
                <w:color w:val="000000"/>
                <w:lang w:eastAsia="en-AU"/>
              </w:rPr>
            </w:pPr>
          </w:p>
        </w:tc>
        <w:tc>
          <w:tcPr>
            <w:tcW w:w="663" w:type="dxa"/>
            <w:vMerge/>
            <w:tcBorders>
              <w:top w:val="nil"/>
              <w:left w:val="single" w:sz="4" w:space="0" w:color="auto"/>
              <w:bottom w:val="single" w:sz="4" w:space="0" w:color="auto"/>
              <w:right w:val="single" w:sz="4" w:space="0" w:color="auto"/>
            </w:tcBorders>
            <w:vAlign w:val="center"/>
            <w:hideMark/>
          </w:tcPr>
          <w:p w:rsidR="00740C24" w:rsidRPr="00106481" w:rsidRDefault="00740C24" w:rsidP="00FC709A">
            <w:pPr>
              <w:spacing w:after="0" w:line="240" w:lineRule="auto"/>
              <w:rPr>
                <w:rFonts w:ascii="Times New Roman" w:eastAsia="Times New Roman" w:hAnsi="Times New Roman" w:cs="Times New Roman"/>
                <w:color w:val="000000"/>
                <w:lang w:eastAsia="en-AU"/>
              </w:rPr>
            </w:pPr>
          </w:p>
        </w:tc>
        <w:tc>
          <w:tcPr>
            <w:tcW w:w="2540" w:type="dxa"/>
            <w:vMerge/>
            <w:tcBorders>
              <w:top w:val="nil"/>
              <w:left w:val="single" w:sz="4" w:space="0" w:color="auto"/>
              <w:bottom w:val="single" w:sz="4" w:space="0" w:color="auto"/>
              <w:right w:val="single" w:sz="4" w:space="0" w:color="auto"/>
            </w:tcBorders>
            <w:vAlign w:val="center"/>
            <w:hideMark/>
          </w:tcPr>
          <w:p w:rsidR="00740C24" w:rsidRPr="00106481" w:rsidRDefault="00740C24" w:rsidP="00FC709A">
            <w:pPr>
              <w:spacing w:after="0" w:line="240" w:lineRule="auto"/>
              <w:rPr>
                <w:rFonts w:ascii="Times New Roman" w:eastAsia="Times New Roman" w:hAnsi="Times New Roman" w:cs="Times New Roman"/>
                <w:color w:val="000000"/>
                <w:lang w:eastAsia="en-AU"/>
              </w:rPr>
            </w:pPr>
          </w:p>
        </w:tc>
        <w:tc>
          <w:tcPr>
            <w:tcW w:w="2858" w:type="dxa"/>
            <w:vMerge/>
            <w:tcBorders>
              <w:top w:val="nil"/>
              <w:left w:val="single" w:sz="4" w:space="0" w:color="auto"/>
              <w:bottom w:val="single" w:sz="4" w:space="0" w:color="auto"/>
              <w:right w:val="single" w:sz="4" w:space="0" w:color="auto"/>
            </w:tcBorders>
            <w:vAlign w:val="center"/>
            <w:hideMark/>
          </w:tcPr>
          <w:p w:rsidR="00740C24" w:rsidRPr="00106481" w:rsidRDefault="00740C24" w:rsidP="00FC709A">
            <w:pPr>
              <w:spacing w:after="0" w:line="240" w:lineRule="auto"/>
              <w:rPr>
                <w:rFonts w:ascii="Times New Roman" w:eastAsia="Times New Roman" w:hAnsi="Times New Roman" w:cs="Times New Roman"/>
                <w:color w:val="000000"/>
                <w:lang w:eastAsia="en-AU"/>
              </w:rPr>
            </w:pPr>
          </w:p>
        </w:tc>
        <w:tc>
          <w:tcPr>
            <w:tcW w:w="2546" w:type="dxa"/>
            <w:vMerge/>
            <w:tcBorders>
              <w:top w:val="single" w:sz="4" w:space="0" w:color="auto"/>
              <w:left w:val="single" w:sz="4" w:space="0" w:color="auto"/>
              <w:bottom w:val="single" w:sz="4" w:space="0" w:color="auto"/>
              <w:right w:val="single" w:sz="4" w:space="0" w:color="auto"/>
            </w:tcBorders>
            <w:vAlign w:val="center"/>
            <w:hideMark/>
          </w:tcPr>
          <w:p w:rsidR="00740C24" w:rsidRPr="00106481" w:rsidRDefault="00740C24" w:rsidP="00FC709A">
            <w:pPr>
              <w:spacing w:after="0" w:line="240" w:lineRule="auto"/>
              <w:rPr>
                <w:rFonts w:ascii="Times New Roman" w:eastAsia="Times New Roman" w:hAnsi="Times New Roman" w:cs="Times New Roman"/>
                <w:color w:val="000000"/>
                <w:lang w:eastAsia="en-AU"/>
              </w:rPr>
            </w:pPr>
          </w:p>
        </w:tc>
      </w:tr>
    </w:tbl>
    <w:p w:rsidR="00740C24" w:rsidRPr="00106481" w:rsidRDefault="00740C24" w:rsidP="00740C24">
      <w:pPr>
        <w:spacing w:after="0" w:line="240" w:lineRule="auto"/>
        <w:rPr>
          <w:rFonts w:ascii="Times New Roman" w:hAnsi="Times New Roman" w:cs="Times New Roman"/>
          <w:b/>
        </w:rPr>
      </w:pPr>
    </w:p>
    <w:tbl>
      <w:tblPr>
        <w:tblW w:w="4500" w:type="dxa"/>
        <w:tblInd w:w="108" w:type="dxa"/>
        <w:tblLook w:val="04A0" w:firstRow="1" w:lastRow="0" w:firstColumn="1" w:lastColumn="0" w:noHBand="0" w:noVBand="1"/>
      </w:tblPr>
      <w:tblGrid>
        <w:gridCol w:w="1140"/>
        <w:gridCol w:w="3360"/>
      </w:tblGrid>
      <w:tr w:rsidR="00740C24" w:rsidRPr="009C2E02" w:rsidTr="00FC709A">
        <w:trPr>
          <w:trHeight w:val="285"/>
        </w:trPr>
        <w:tc>
          <w:tcPr>
            <w:tcW w:w="1140" w:type="dxa"/>
            <w:tcBorders>
              <w:top w:val="nil"/>
              <w:left w:val="nil"/>
              <w:bottom w:val="nil"/>
              <w:right w:val="nil"/>
            </w:tcBorders>
            <w:shd w:val="clear" w:color="auto" w:fill="auto"/>
            <w:noWrap/>
            <w:vAlign w:val="bottom"/>
            <w:hideMark/>
          </w:tcPr>
          <w:p w:rsidR="00740C24" w:rsidRPr="009C2E02" w:rsidRDefault="00740C24" w:rsidP="00FC709A">
            <w:pPr>
              <w:spacing w:after="0" w:line="240" w:lineRule="auto"/>
              <w:rPr>
                <w:rFonts w:ascii="Times New Roman" w:eastAsia="Times New Roman" w:hAnsi="Times New Roman" w:cs="Times New Roman"/>
                <w:color w:val="000000"/>
              </w:rPr>
            </w:pPr>
            <w:r>
              <w:rPr>
                <w:rFonts w:ascii="Times New Roman" w:hAnsi="Times New Roman"/>
                <w:color w:val="000000"/>
              </w:rPr>
              <w:t>Légende</w:t>
            </w:r>
          </w:p>
        </w:tc>
        <w:tc>
          <w:tcPr>
            <w:tcW w:w="3360" w:type="dxa"/>
            <w:tcBorders>
              <w:top w:val="nil"/>
              <w:left w:val="nil"/>
              <w:bottom w:val="nil"/>
              <w:right w:val="nil"/>
            </w:tcBorders>
            <w:shd w:val="clear" w:color="auto" w:fill="auto"/>
            <w:noWrap/>
            <w:vAlign w:val="bottom"/>
            <w:hideMark/>
          </w:tcPr>
          <w:p w:rsidR="00740C24" w:rsidRPr="009C2E02" w:rsidRDefault="00740C24" w:rsidP="00FC709A">
            <w:pPr>
              <w:spacing w:after="0" w:line="240" w:lineRule="auto"/>
              <w:rPr>
                <w:rFonts w:ascii="Times New Roman" w:eastAsia="Times New Roman" w:hAnsi="Times New Roman" w:cs="Times New Roman"/>
                <w:color w:val="000000"/>
                <w:lang w:val="en-AU" w:eastAsia="en-AU"/>
              </w:rPr>
            </w:pPr>
          </w:p>
        </w:tc>
      </w:tr>
      <w:tr w:rsidR="00740C24" w:rsidRPr="009C2E02" w:rsidTr="00FC709A">
        <w:trPr>
          <w:trHeight w:val="285"/>
        </w:trPr>
        <w:tc>
          <w:tcPr>
            <w:tcW w:w="4500" w:type="dxa"/>
            <w:gridSpan w:val="2"/>
            <w:tcBorders>
              <w:top w:val="single" w:sz="4" w:space="0" w:color="auto"/>
              <w:left w:val="single" w:sz="4" w:space="0" w:color="auto"/>
              <w:bottom w:val="single" w:sz="4" w:space="0" w:color="auto"/>
              <w:right w:val="single" w:sz="4" w:space="0" w:color="000000"/>
            </w:tcBorders>
            <w:shd w:val="clear" w:color="000000" w:fill="E2EFDA"/>
            <w:noWrap/>
            <w:vAlign w:val="bottom"/>
            <w:hideMark/>
          </w:tcPr>
          <w:p w:rsidR="00740C24" w:rsidRPr="009C2E02" w:rsidRDefault="00740C24" w:rsidP="00FC709A">
            <w:pPr>
              <w:spacing w:after="0" w:line="240" w:lineRule="auto"/>
              <w:rPr>
                <w:rFonts w:ascii="Times New Roman" w:eastAsia="Times New Roman" w:hAnsi="Times New Roman" w:cs="Times New Roman"/>
                <w:color w:val="000000"/>
              </w:rPr>
            </w:pPr>
            <w:r>
              <w:rPr>
                <w:rFonts w:ascii="Times New Roman" w:hAnsi="Times New Roman"/>
                <w:color w:val="000000"/>
              </w:rPr>
              <w:t>VERT</w:t>
            </w:r>
            <w:r w:rsidR="00AD4EEC">
              <w:rPr>
                <w:rFonts w:ascii="Times New Roman" w:hAnsi="Times New Roman"/>
                <w:color w:val="000000"/>
              </w:rPr>
              <w:t> :</w:t>
            </w:r>
            <w:r>
              <w:rPr>
                <w:rFonts w:ascii="Times New Roman" w:hAnsi="Times New Roman"/>
                <w:color w:val="000000"/>
              </w:rPr>
              <w:t xml:space="preserve"> en cours de réalisation</w:t>
            </w:r>
          </w:p>
        </w:tc>
      </w:tr>
      <w:tr w:rsidR="00740C24" w:rsidRPr="009C2E02" w:rsidTr="00FC709A">
        <w:trPr>
          <w:trHeight w:val="285"/>
        </w:trPr>
        <w:tc>
          <w:tcPr>
            <w:tcW w:w="4500" w:type="dxa"/>
            <w:gridSpan w:val="2"/>
            <w:tcBorders>
              <w:top w:val="single" w:sz="4" w:space="0" w:color="auto"/>
              <w:left w:val="single" w:sz="4" w:space="0" w:color="auto"/>
              <w:bottom w:val="single" w:sz="4" w:space="0" w:color="auto"/>
              <w:right w:val="single" w:sz="4" w:space="0" w:color="000000"/>
            </w:tcBorders>
            <w:shd w:val="clear" w:color="000000" w:fill="FFF2CC"/>
            <w:noWrap/>
            <w:vAlign w:val="bottom"/>
            <w:hideMark/>
          </w:tcPr>
          <w:p w:rsidR="00740C24" w:rsidRPr="009C2E02" w:rsidRDefault="00740C24" w:rsidP="00FC709A">
            <w:pPr>
              <w:spacing w:after="0" w:line="240" w:lineRule="auto"/>
              <w:rPr>
                <w:rFonts w:ascii="Times New Roman" w:eastAsia="Times New Roman" w:hAnsi="Times New Roman" w:cs="Times New Roman"/>
                <w:color w:val="000000"/>
              </w:rPr>
            </w:pPr>
            <w:r>
              <w:rPr>
                <w:rFonts w:ascii="Times New Roman" w:hAnsi="Times New Roman"/>
                <w:color w:val="000000"/>
              </w:rPr>
              <w:t>JAUNE</w:t>
            </w:r>
            <w:r w:rsidR="00AD4EEC">
              <w:rPr>
                <w:rFonts w:ascii="Times New Roman" w:hAnsi="Times New Roman"/>
                <w:color w:val="000000"/>
              </w:rPr>
              <w:t> :</w:t>
            </w:r>
            <w:r>
              <w:rPr>
                <w:rFonts w:ascii="Times New Roman" w:hAnsi="Times New Roman"/>
                <w:color w:val="000000"/>
              </w:rPr>
              <w:t xml:space="preserve"> travaux préparatoires en cours</w:t>
            </w:r>
          </w:p>
        </w:tc>
      </w:tr>
      <w:tr w:rsidR="00740C24" w:rsidRPr="009C2E02" w:rsidTr="00FC709A">
        <w:trPr>
          <w:trHeight w:val="285"/>
        </w:trPr>
        <w:tc>
          <w:tcPr>
            <w:tcW w:w="4500" w:type="dxa"/>
            <w:gridSpan w:val="2"/>
            <w:tcBorders>
              <w:top w:val="single" w:sz="4" w:space="0" w:color="auto"/>
              <w:left w:val="single" w:sz="4" w:space="0" w:color="auto"/>
              <w:bottom w:val="single" w:sz="4" w:space="0" w:color="auto"/>
              <w:right w:val="single" w:sz="4" w:space="0" w:color="000000"/>
            </w:tcBorders>
            <w:shd w:val="clear" w:color="000000" w:fill="DDEBF7"/>
            <w:noWrap/>
            <w:vAlign w:val="bottom"/>
            <w:hideMark/>
          </w:tcPr>
          <w:p w:rsidR="00740C24" w:rsidRPr="009C2E02" w:rsidRDefault="00740C24" w:rsidP="00FC709A">
            <w:pPr>
              <w:spacing w:after="0" w:line="240" w:lineRule="auto"/>
              <w:rPr>
                <w:rFonts w:ascii="Times New Roman" w:eastAsia="Times New Roman" w:hAnsi="Times New Roman" w:cs="Times New Roman"/>
                <w:color w:val="000000"/>
              </w:rPr>
            </w:pPr>
            <w:r>
              <w:rPr>
                <w:rFonts w:ascii="Times New Roman" w:hAnsi="Times New Roman"/>
                <w:color w:val="000000"/>
              </w:rPr>
              <w:t>BLEU</w:t>
            </w:r>
            <w:r w:rsidR="00AD4EEC">
              <w:rPr>
                <w:rFonts w:ascii="Times New Roman" w:hAnsi="Times New Roman"/>
                <w:color w:val="000000"/>
              </w:rPr>
              <w:t> :</w:t>
            </w:r>
            <w:r>
              <w:rPr>
                <w:rFonts w:ascii="Times New Roman" w:hAnsi="Times New Roman"/>
                <w:color w:val="000000"/>
              </w:rPr>
              <w:t xml:space="preserve"> activité non démarrée</w:t>
            </w:r>
          </w:p>
        </w:tc>
      </w:tr>
      <w:bookmarkEnd w:id="0"/>
      <w:bookmarkEnd w:id="1"/>
    </w:tbl>
    <w:p w:rsidR="00740C24" w:rsidRPr="005A022E" w:rsidRDefault="00740C24" w:rsidP="002436A4">
      <w:pPr>
        <w:spacing w:after="0" w:line="240" w:lineRule="auto"/>
        <w:rPr>
          <w:rFonts w:ascii="Times New Roman" w:hAnsi="Times New Roman" w:cs="Times New Roman"/>
          <w:b/>
          <w:lang w:val="en-AU"/>
        </w:rPr>
      </w:pPr>
    </w:p>
    <w:sectPr w:rsidR="00740C24" w:rsidRPr="005A022E" w:rsidSect="00740C24">
      <w:headerReference w:type="even" r:id="rId22"/>
      <w:headerReference w:type="default" r:id="rId23"/>
      <w:footerReference w:type="first" r:id="rId24"/>
      <w:pgSz w:w="11906" w:h="16838" w:code="9"/>
      <w:pgMar w:top="1440" w:right="1440" w:bottom="851" w:left="1440"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00EC" w:rsidRDefault="00A300EC" w:rsidP="00DC6979">
      <w:pPr>
        <w:spacing w:after="0" w:line="240" w:lineRule="auto"/>
      </w:pPr>
      <w:r>
        <w:separator/>
      </w:r>
    </w:p>
  </w:endnote>
  <w:endnote w:type="continuationSeparator" w:id="0">
    <w:p w:rsidR="00A300EC" w:rsidRDefault="00A300EC" w:rsidP="00DC6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483" w:rsidRDefault="00D54483" w:rsidP="00BD60F7">
    <w:pPr>
      <w:pStyle w:val="Footer"/>
      <w:pBdr>
        <w:top w:val="single" w:sz="4" w:space="1" w:color="D9D9D9" w:themeColor="background1" w:themeShade="D9"/>
      </w:pBdr>
      <w:rPr>
        <w:b/>
        <w:bCs/>
      </w:rPr>
    </w:pPr>
  </w:p>
  <w:p w:rsidR="00D54483" w:rsidRDefault="00D54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00EC" w:rsidRDefault="00A300EC" w:rsidP="00DC6979">
      <w:pPr>
        <w:spacing w:after="0" w:line="240" w:lineRule="auto"/>
      </w:pPr>
      <w:r>
        <w:separator/>
      </w:r>
    </w:p>
  </w:footnote>
  <w:footnote w:type="continuationSeparator" w:id="0">
    <w:p w:rsidR="00A300EC" w:rsidRDefault="00A300EC" w:rsidP="00DC6979">
      <w:pPr>
        <w:spacing w:after="0" w:line="240" w:lineRule="auto"/>
      </w:pPr>
      <w:r>
        <w:continuationSeparator/>
      </w:r>
    </w:p>
  </w:footnote>
  <w:footnote w:id="1">
    <w:p w:rsidR="00A94FA5" w:rsidRPr="00FA7A20" w:rsidRDefault="00A94FA5" w:rsidP="00A94FA5">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rPr>
        <w:t xml:space="preserve"> Les trois niveaux de formation du programme SHIP sont les suivants</w:t>
      </w:r>
      <w:r w:rsidR="00AD4EEC">
        <w:rPr>
          <w:rFonts w:ascii="Times New Roman" w:hAnsi="Times New Roman"/>
        </w:rPr>
        <w:t> :</w:t>
      </w:r>
      <w:r>
        <w:rPr>
          <w:rFonts w:ascii="Times New Roman" w:hAnsi="Times New Roman"/>
        </w:rPr>
        <w:t xml:space="preserve"> en premier lieu un certificat de deuxième cycle en épidémiologie de terrain (PGCFE), puis un diplôme de deuxième cycle en épidémiologie appliquée (PGDAE), et enfin un master en épidémiologie appliquée (MAE). Le programme SHIP est accrédité sur le plan universitaire par l</w:t>
      </w:r>
      <w:r w:rsidR="00AD4EEC">
        <w:rPr>
          <w:rFonts w:ascii="Times New Roman" w:hAnsi="Times New Roman"/>
        </w:rPr>
        <w:t>’</w:t>
      </w:r>
      <w:r>
        <w:rPr>
          <w:rFonts w:ascii="Times New Roman" w:hAnsi="Times New Roman"/>
        </w:rPr>
        <w:t>Université nationale des Fidji.</w:t>
      </w:r>
    </w:p>
  </w:footnote>
  <w:footnote w:id="2">
    <w:p w:rsidR="00A94FA5" w:rsidRPr="00532A1E" w:rsidRDefault="00A94FA5" w:rsidP="00A94FA5">
      <w:pPr>
        <w:pStyle w:val="FootnoteText"/>
        <w:rPr>
          <w:rFonts w:ascii="Times New Roman" w:hAnsi="Times New Roman" w:cs="Times New Roman"/>
        </w:rPr>
      </w:pPr>
      <w:r>
        <w:rPr>
          <w:rStyle w:val="FootnoteReference"/>
          <w:rFonts w:ascii="Times New Roman" w:hAnsi="Times New Roman" w:cs="Times New Roman"/>
        </w:rPr>
        <w:footnoteRef/>
      </w:r>
      <w:r>
        <w:t xml:space="preserve"> </w:t>
      </w:r>
      <w:r w:rsidRPr="00106481">
        <w:rPr>
          <w:rFonts w:ascii="Times New Roman" w:hAnsi="Times New Roman" w:cs="Times New Roman"/>
        </w:rPr>
        <w:t>Seuls 1</w:t>
      </w:r>
      <w:r w:rsidR="00106481" w:rsidRPr="00106481">
        <w:rPr>
          <w:rFonts w:ascii="Times New Roman" w:hAnsi="Times New Roman" w:cs="Times New Roman"/>
        </w:rPr>
        <w:t>5</w:t>
      </w:r>
      <w:r w:rsidRPr="00106481">
        <w:rPr>
          <w:rFonts w:ascii="Times New Roman" w:hAnsi="Times New Roman" w:cs="Times New Roman"/>
        </w:rPr>
        <w:t> États</w:t>
      </w:r>
      <w:r w:rsidRPr="00092528">
        <w:rPr>
          <w:rFonts w:ascii="Times New Roman" w:hAnsi="Times New Roman" w:cs="Times New Roman"/>
        </w:rPr>
        <w:t xml:space="preserve"> et Territoires insulaires océaniens utilisent pour l</w:t>
      </w:r>
      <w:r w:rsidR="00AD4EEC" w:rsidRPr="00092528">
        <w:rPr>
          <w:rFonts w:ascii="Times New Roman" w:hAnsi="Times New Roman" w:cs="Times New Roman"/>
        </w:rPr>
        <w:t>’</w:t>
      </w:r>
      <w:r w:rsidRPr="00092528">
        <w:rPr>
          <w:rFonts w:ascii="Times New Roman" w:hAnsi="Times New Roman" w:cs="Times New Roman"/>
        </w:rPr>
        <w:t>heure l</w:t>
      </w:r>
      <w:r w:rsidR="00AD4EEC" w:rsidRPr="00092528">
        <w:rPr>
          <w:rFonts w:ascii="Times New Roman" w:hAnsi="Times New Roman" w:cs="Times New Roman"/>
        </w:rPr>
        <w:t>’</w:t>
      </w:r>
      <w:r w:rsidRPr="00092528">
        <w:rPr>
          <w:rFonts w:ascii="Times New Roman" w:hAnsi="Times New Roman" w:cs="Times New Roman"/>
        </w:rPr>
        <w:t>indicateur relatif aux cas cliniquement évocateurs de dengue, ce qui explique le nombre relativement faible de signalements.</w:t>
      </w:r>
    </w:p>
  </w:footnote>
  <w:footnote w:id="3">
    <w:p w:rsidR="00A94FA5" w:rsidRPr="00532A1E" w:rsidRDefault="00A94FA5" w:rsidP="00A94FA5">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rPr>
        <w:t xml:space="preserve"> Laboratoire de santé publique de Guam, Institut Louis </w:t>
      </w:r>
      <w:proofErr w:type="spellStart"/>
      <w:r>
        <w:rPr>
          <w:rFonts w:ascii="Times New Roman" w:hAnsi="Times New Roman"/>
        </w:rPr>
        <w:t>Malardé</w:t>
      </w:r>
      <w:proofErr w:type="spellEnd"/>
      <w:r>
        <w:rPr>
          <w:rFonts w:ascii="Times New Roman" w:hAnsi="Times New Roman"/>
        </w:rPr>
        <w:t xml:space="preserve"> de Polynésie française, Institut Pasteur de Nouvelle-Calédonie et Laboratoire de </w:t>
      </w:r>
      <w:proofErr w:type="spellStart"/>
      <w:r>
        <w:rPr>
          <w:rFonts w:ascii="Times New Roman" w:hAnsi="Times New Roman"/>
        </w:rPr>
        <w:t>Mataika</w:t>
      </w:r>
      <w:proofErr w:type="spellEnd"/>
      <w:r>
        <w:rPr>
          <w:rFonts w:ascii="Times New Roman" w:hAnsi="Times New Roman"/>
        </w:rPr>
        <w:t xml:space="preserve"> House du ministère fidjien de la Santé et des Services médicaux.</w:t>
      </w:r>
    </w:p>
  </w:footnote>
  <w:footnote w:id="4">
    <w:p w:rsidR="00A94FA5" w:rsidRPr="00337EE6" w:rsidRDefault="00A94FA5" w:rsidP="00A94FA5">
      <w:pPr>
        <w:pStyle w:val="FootnoteText"/>
        <w:rPr>
          <w:rFonts w:ascii="Times New Roman" w:hAnsi="Times New Roman" w:cs="Times New Roman"/>
        </w:rPr>
      </w:pPr>
      <w:r>
        <w:rPr>
          <w:rStyle w:val="FootnoteReference"/>
          <w:rFonts w:ascii="Times New Roman" w:hAnsi="Times New Roman" w:cs="Times New Roman"/>
        </w:rPr>
        <w:footnoteRef/>
      </w:r>
      <w:r>
        <w:t xml:space="preserve"> </w:t>
      </w:r>
      <w:r w:rsidRPr="00BF3A7C">
        <w:rPr>
          <w:rFonts w:ascii="Times New Roman" w:hAnsi="Times New Roman" w:cs="Times New Roman"/>
        </w:rPr>
        <w:t>Tous les pays océaniens disposent d</w:t>
      </w:r>
      <w:r w:rsidR="00AD4EEC" w:rsidRPr="00BF3A7C">
        <w:rPr>
          <w:rFonts w:ascii="Times New Roman" w:hAnsi="Times New Roman" w:cs="Times New Roman"/>
        </w:rPr>
        <w:t>’</w:t>
      </w:r>
      <w:r w:rsidRPr="00BF3A7C">
        <w:rPr>
          <w:rFonts w:ascii="Times New Roman" w:hAnsi="Times New Roman" w:cs="Times New Roman"/>
        </w:rPr>
        <w:t>une équipe EpiNet, à l</w:t>
      </w:r>
      <w:r w:rsidR="00AD4EEC" w:rsidRPr="00BF3A7C">
        <w:rPr>
          <w:rFonts w:ascii="Times New Roman" w:hAnsi="Times New Roman" w:cs="Times New Roman"/>
        </w:rPr>
        <w:t>’</w:t>
      </w:r>
      <w:r w:rsidRPr="00BF3A7C">
        <w:rPr>
          <w:rFonts w:ascii="Times New Roman" w:hAnsi="Times New Roman" w:cs="Times New Roman"/>
        </w:rPr>
        <w:t>exception des États fédérés de Micronésie,</w:t>
      </w:r>
      <w:r>
        <w:rPr>
          <w:rFonts w:ascii="Times New Roman" w:hAnsi="Times New Roman"/>
        </w:rPr>
        <w:t xml:space="preserve"> qui en comptent cinq</w:t>
      </w:r>
      <w:r w:rsidR="00AD4EEC">
        <w:rPr>
          <w:rFonts w:ascii="Times New Roman" w:hAnsi="Times New Roman"/>
        </w:rPr>
        <w:t> :</w:t>
      </w:r>
      <w:r>
        <w:rPr>
          <w:rFonts w:ascii="Times New Roman" w:hAnsi="Times New Roman"/>
        </w:rPr>
        <w:t xml:space="preserve"> une équipe nationale et une équipe pour chacun des quatre États.</w:t>
      </w:r>
    </w:p>
  </w:footnote>
  <w:footnote w:id="5">
    <w:p w:rsidR="00A94FA5" w:rsidRPr="00337EE6" w:rsidRDefault="00A94FA5" w:rsidP="00A94FA5">
      <w:pPr>
        <w:pStyle w:val="FootnoteText"/>
        <w:rPr>
          <w:rFonts w:ascii="Times New Roman" w:hAnsi="Times New Roman" w:cs="Times New Roman"/>
        </w:rPr>
      </w:pPr>
      <w:r>
        <w:rPr>
          <w:rStyle w:val="FootnoteReference"/>
          <w:rFonts w:ascii="Times New Roman" w:hAnsi="Times New Roman" w:cs="Times New Roman"/>
        </w:rPr>
        <w:footnoteRef/>
      </w:r>
      <w:r>
        <w:t xml:space="preserve"> </w:t>
      </w:r>
      <w:r>
        <w:rPr>
          <w:rFonts w:ascii="Times New Roman" w:hAnsi="Times New Roman"/>
        </w:rPr>
        <w:t>Gestion des données</w:t>
      </w:r>
      <w:r w:rsidR="00AD4EEC">
        <w:rPr>
          <w:rFonts w:ascii="Times New Roman" w:hAnsi="Times New Roman"/>
        </w:rPr>
        <w:t> ;</w:t>
      </w:r>
      <w:r>
        <w:rPr>
          <w:rFonts w:ascii="Times New Roman" w:hAnsi="Times New Roman"/>
        </w:rPr>
        <w:t xml:space="preserve"> médecine clinique</w:t>
      </w:r>
      <w:r w:rsidR="00AD4EEC">
        <w:rPr>
          <w:rFonts w:ascii="Times New Roman" w:hAnsi="Times New Roman"/>
        </w:rPr>
        <w:t> ;</w:t>
      </w:r>
      <w:r>
        <w:rPr>
          <w:rFonts w:ascii="Times New Roman" w:hAnsi="Times New Roman"/>
        </w:rPr>
        <w:t xml:space="preserve"> services de laboratoire</w:t>
      </w:r>
      <w:r w:rsidR="00AD4EEC">
        <w:rPr>
          <w:rFonts w:ascii="Times New Roman" w:hAnsi="Times New Roman"/>
        </w:rPr>
        <w:t> ;</w:t>
      </w:r>
      <w:r>
        <w:rPr>
          <w:rFonts w:ascii="Times New Roman" w:hAnsi="Times New Roman"/>
        </w:rPr>
        <w:t xml:space="preserve"> investigation sur le terrain</w:t>
      </w:r>
      <w:r w:rsidR="00AD4EEC">
        <w:rPr>
          <w:rFonts w:ascii="Times New Roman" w:hAnsi="Times New Roman"/>
        </w:rPr>
        <w:t> ;</w:t>
      </w:r>
      <w:r>
        <w:rPr>
          <w:rFonts w:ascii="Times New Roman" w:hAnsi="Times New Roman"/>
        </w:rPr>
        <w:t xml:space="preserve"> gestion de la santé publique.</w:t>
      </w:r>
    </w:p>
  </w:footnote>
  <w:footnote w:id="6">
    <w:p w:rsidR="00A94FA5" w:rsidRPr="00337EE6" w:rsidRDefault="00A94FA5" w:rsidP="00A94FA5">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rPr>
        <w:t xml:space="preserve"> Tokelau, Tonga et Vanuatu.</w:t>
      </w:r>
    </w:p>
  </w:footnote>
  <w:footnote w:id="7">
    <w:p w:rsidR="00A94FA5" w:rsidRPr="00F711DE" w:rsidRDefault="00A94FA5" w:rsidP="00A94FA5">
      <w:pPr>
        <w:pStyle w:val="FootnoteText"/>
      </w:pPr>
      <w:r>
        <w:rPr>
          <w:rStyle w:val="FootnoteReference"/>
          <w:rFonts w:ascii="Times New Roman" w:hAnsi="Times New Roman" w:cs="Times New Roman"/>
        </w:rPr>
        <w:footnoteRef/>
      </w:r>
      <w:r>
        <w:rPr>
          <w:rFonts w:ascii="Times New Roman" w:hAnsi="Times New Roman"/>
        </w:rPr>
        <w:t xml:space="preserve"> Le certificat de deuxième cycle en épidémiologie de terrain compte cinq modules</w:t>
      </w:r>
      <w:r w:rsidR="00AD4EEC">
        <w:rPr>
          <w:rFonts w:ascii="Times New Roman" w:hAnsi="Times New Roman"/>
        </w:rPr>
        <w:t> :</w:t>
      </w:r>
      <w:r>
        <w:rPr>
          <w:rFonts w:ascii="Times New Roman" w:hAnsi="Times New Roman"/>
        </w:rPr>
        <w:t xml:space="preserve"> Initiation à l</w:t>
      </w:r>
      <w:r w:rsidR="00AD4EEC">
        <w:rPr>
          <w:rFonts w:ascii="Times New Roman" w:hAnsi="Times New Roman"/>
        </w:rPr>
        <w:t>’</w:t>
      </w:r>
      <w:r>
        <w:rPr>
          <w:rFonts w:ascii="Times New Roman" w:hAnsi="Times New Roman"/>
        </w:rPr>
        <w:t>épidémiologie et à l</w:t>
      </w:r>
      <w:r w:rsidR="00AD4EEC">
        <w:rPr>
          <w:rFonts w:ascii="Times New Roman" w:hAnsi="Times New Roman"/>
        </w:rPr>
        <w:t>’</w:t>
      </w:r>
      <w:r>
        <w:rPr>
          <w:rFonts w:ascii="Times New Roman" w:hAnsi="Times New Roman"/>
        </w:rPr>
        <w:t>épidémiologie de terrain</w:t>
      </w:r>
      <w:r w:rsidR="00AD4EEC">
        <w:rPr>
          <w:rFonts w:ascii="Times New Roman" w:hAnsi="Times New Roman"/>
        </w:rPr>
        <w:t> ;</w:t>
      </w:r>
      <w:r>
        <w:rPr>
          <w:rFonts w:ascii="Times New Roman" w:hAnsi="Times New Roman"/>
        </w:rPr>
        <w:t xml:space="preserve"> Surveillance de la santé publique</w:t>
      </w:r>
      <w:r w:rsidR="00AD4EEC">
        <w:rPr>
          <w:rFonts w:ascii="Times New Roman" w:hAnsi="Times New Roman"/>
        </w:rPr>
        <w:t> ;</w:t>
      </w:r>
      <w:r>
        <w:rPr>
          <w:rFonts w:ascii="Times New Roman" w:hAnsi="Times New Roman"/>
        </w:rPr>
        <w:t xml:space="preserve"> Enquêtes en cas de flambée épidémique et prise en charge des flambées</w:t>
      </w:r>
      <w:r w:rsidR="00AD4EEC">
        <w:rPr>
          <w:rFonts w:ascii="Times New Roman" w:hAnsi="Times New Roman"/>
        </w:rPr>
        <w:t> ;</w:t>
      </w:r>
      <w:r>
        <w:rPr>
          <w:rFonts w:ascii="Times New Roman" w:hAnsi="Times New Roman"/>
        </w:rPr>
        <w:t xml:space="preserve"> Informatique appliquée aux pratiques de santé publique</w:t>
      </w:r>
      <w:r w:rsidR="00AD4EEC">
        <w:rPr>
          <w:rFonts w:ascii="Times New Roman" w:hAnsi="Times New Roman"/>
        </w:rPr>
        <w:t> ;</w:t>
      </w:r>
      <w:r>
        <w:rPr>
          <w:rFonts w:ascii="Times New Roman" w:hAnsi="Times New Roman"/>
        </w:rPr>
        <w:t xml:space="preserve"> Projet d</w:t>
      </w:r>
      <w:r w:rsidR="00AD4EEC">
        <w:rPr>
          <w:rFonts w:ascii="Times New Roman" w:hAnsi="Times New Roman"/>
        </w:rPr>
        <w:t>’</w:t>
      </w:r>
      <w:r>
        <w:rPr>
          <w:rFonts w:ascii="Times New Roman" w:hAnsi="Times New Roman"/>
        </w:rPr>
        <w:t>épidémiologie de terrain.</w:t>
      </w:r>
    </w:p>
  </w:footnote>
  <w:footnote w:id="8">
    <w:p w:rsidR="00A94FA5" w:rsidRPr="00F97E31" w:rsidRDefault="00A94FA5" w:rsidP="00A94FA5">
      <w:pPr>
        <w:pStyle w:val="FootnoteText"/>
      </w:pPr>
      <w:r>
        <w:rPr>
          <w:rStyle w:val="FootnoteReference"/>
        </w:rPr>
        <w:footnoteRef/>
      </w:r>
      <w:r>
        <w:t xml:space="preserve"> </w:t>
      </w:r>
      <w:r w:rsidRPr="00554442">
        <w:rPr>
          <w:rFonts w:ascii="Times New Roman" w:hAnsi="Times New Roman" w:cs="Times New Roman"/>
        </w:rPr>
        <w:t>Fidji, Kiribati, Nauru, Niue, Îles Salomon, Samoa et Tonga.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403" w:rsidRPr="007608DB" w:rsidRDefault="00895403" w:rsidP="00895403">
    <w:pPr>
      <w:pStyle w:val="Header"/>
      <w:jc w:val="right"/>
      <w:rPr>
        <w:rFonts w:asciiTheme="majorBidi" w:hAnsiTheme="majorBidi" w:cstheme="majorBidi"/>
        <w:b/>
        <w:bCs/>
      </w:rPr>
    </w:pPr>
    <w:r>
      <w:rPr>
        <w:rFonts w:asciiTheme="majorBidi" w:hAnsiTheme="majorBidi"/>
        <w:b/>
        <w:bCs/>
      </w:rPr>
      <w:t>PIC13/S3/1/Info 1</w:t>
    </w:r>
  </w:p>
  <w:p w:rsidR="00895403" w:rsidRDefault="00895403" w:rsidP="00895403">
    <w:pPr>
      <w:pStyle w:val="Header"/>
      <w:jc w:val="right"/>
      <w:rPr>
        <w:rFonts w:asciiTheme="majorBidi" w:hAnsiTheme="majorBidi" w:cstheme="majorBidi"/>
        <w:b/>
        <w:bCs/>
        <w:noProof/>
      </w:rPr>
    </w:pPr>
    <w:proofErr w:type="gramStart"/>
    <w:r>
      <w:rPr>
        <w:rFonts w:asciiTheme="majorBidi" w:hAnsiTheme="majorBidi"/>
        <w:b/>
        <w:bCs/>
      </w:rPr>
      <w:t>page</w:t>
    </w:r>
    <w:proofErr w:type="gramEnd"/>
    <w:r>
      <w:rPr>
        <w:rFonts w:asciiTheme="majorBidi" w:hAnsiTheme="majorBidi"/>
        <w:b/>
        <w:bCs/>
      </w:rPr>
      <w:t xml:space="preserve"> </w:t>
    </w:r>
    <w:r w:rsidRPr="007608DB">
      <w:rPr>
        <w:rFonts w:asciiTheme="majorBidi" w:hAnsiTheme="majorBidi" w:cstheme="majorBidi"/>
        <w:b/>
        <w:bCs/>
      </w:rPr>
      <w:fldChar w:fldCharType="begin"/>
    </w:r>
    <w:r w:rsidRPr="007608DB">
      <w:rPr>
        <w:rFonts w:asciiTheme="majorBidi" w:hAnsiTheme="majorBidi" w:cstheme="majorBidi"/>
        <w:b/>
        <w:bCs/>
      </w:rPr>
      <w:instrText xml:space="preserve"> PAGE   \* MERGEFORMAT </w:instrText>
    </w:r>
    <w:r w:rsidRPr="007608DB">
      <w:rPr>
        <w:rFonts w:asciiTheme="majorBidi" w:hAnsiTheme="majorBidi" w:cstheme="majorBidi"/>
        <w:b/>
        <w:bCs/>
      </w:rPr>
      <w:fldChar w:fldCharType="separate"/>
    </w:r>
    <w:r>
      <w:rPr>
        <w:rFonts w:asciiTheme="majorBidi" w:hAnsiTheme="majorBidi" w:cstheme="majorBidi"/>
        <w:b/>
        <w:bCs/>
        <w:noProof/>
      </w:rPr>
      <w:t>13</w:t>
    </w:r>
    <w:r w:rsidRPr="007608DB">
      <w:rPr>
        <w:rFonts w:asciiTheme="majorBidi" w:hAnsiTheme="majorBidi" w:cstheme="majorBidi"/>
        <w:b/>
        <w:bCs/>
      </w:rPr>
      <w:fldChar w:fldCharType="end"/>
    </w:r>
  </w:p>
  <w:p w:rsidR="00895403" w:rsidRDefault="00895403" w:rsidP="00895403">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403" w:rsidRDefault="00895403" w:rsidP="00895403">
    <w:pPr>
      <w:pStyle w:val="Header"/>
      <w:jc w:val="center"/>
    </w:pPr>
    <w:r>
      <w:rPr>
        <w:noProof/>
        <w:lang w:val="en-US" w:eastAsia="en-US"/>
      </w:rPr>
      <w:drawing>
        <wp:inline distT="0" distB="0" distL="0" distR="0" wp14:anchorId="0A002C64" wp14:editId="43B3B5EB">
          <wp:extent cx="5669280" cy="1431573"/>
          <wp:effectExtent l="0" t="0" r="7620" b="0"/>
          <wp:docPr id="4" name="Picture 4" descr="D:\Users\sealw\Desktop\PHMM\Graphics\13 PHMM mainbanner 2019 small 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sealw\Desktop\PHMM\Graphics\13 PHMM mainbanner 2019 small F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69979" cy="1431749"/>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483" w:rsidRPr="007608DB" w:rsidRDefault="001C1778" w:rsidP="00BD60F7">
    <w:pPr>
      <w:pStyle w:val="Header"/>
      <w:rPr>
        <w:rFonts w:asciiTheme="majorBidi" w:hAnsiTheme="majorBidi" w:cstheme="majorBidi"/>
        <w:b/>
        <w:bCs/>
      </w:rPr>
    </w:pPr>
    <w:r>
      <w:rPr>
        <w:rFonts w:asciiTheme="majorBidi" w:hAnsiTheme="majorBidi"/>
        <w:b/>
        <w:bCs/>
      </w:rPr>
      <w:t>PIC12/</w:t>
    </w:r>
    <w:r>
      <w:rPr>
        <w:rFonts w:asciiTheme="majorBidi" w:hAnsiTheme="majorBidi"/>
        <w:b/>
        <w:bCs/>
        <w:highlight w:val="yellow"/>
      </w:rPr>
      <w:t>INF</w:t>
    </w:r>
  </w:p>
  <w:p w:rsidR="00D54483" w:rsidRDefault="00D54483" w:rsidP="00BD60F7">
    <w:pPr>
      <w:pStyle w:val="Header"/>
      <w:rPr>
        <w:rFonts w:asciiTheme="majorBidi" w:hAnsiTheme="majorBidi" w:cstheme="majorBidi"/>
        <w:b/>
        <w:bCs/>
        <w:noProof/>
      </w:rPr>
    </w:pPr>
    <w:r>
      <w:rPr>
        <w:rFonts w:asciiTheme="majorBidi" w:hAnsiTheme="majorBidi"/>
        <w:b/>
        <w:bCs/>
      </w:rPr>
      <w:t xml:space="preserve">page </w:t>
    </w:r>
    <w:r w:rsidRPr="007608DB">
      <w:rPr>
        <w:rFonts w:asciiTheme="majorBidi" w:hAnsiTheme="majorBidi" w:cstheme="majorBidi"/>
        <w:b/>
        <w:bCs/>
      </w:rPr>
      <w:fldChar w:fldCharType="begin"/>
    </w:r>
    <w:r w:rsidRPr="007608DB">
      <w:rPr>
        <w:rFonts w:asciiTheme="majorBidi" w:hAnsiTheme="majorBidi" w:cstheme="majorBidi"/>
        <w:b/>
        <w:bCs/>
      </w:rPr>
      <w:instrText xml:space="preserve"> PAGE   \* MERGEFORMAT </w:instrText>
    </w:r>
    <w:r w:rsidRPr="007608DB">
      <w:rPr>
        <w:rFonts w:asciiTheme="majorBidi" w:hAnsiTheme="majorBidi" w:cstheme="majorBidi"/>
        <w:b/>
        <w:bCs/>
      </w:rPr>
      <w:fldChar w:fldCharType="separate"/>
    </w:r>
    <w:r w:rsidR="00895403">
      <w:rPr>
        <w:rFonts w:asciiTheme="majorBidi" w:hAnsiTheme="majorBidi" w:cstheme="majorBidi"/>
        <w:b/>
        <w:bCs/>
        <w:noProof/>
      </w:rPr>
      <w:t>14</w:t>
    </w:r>
    <w:r w:rsidRPr="007608DB">
      <w:rPr>
        <w:rFonts w:asciiTheme="majorBidi" w:hAnsiTheme="majorBidi" w:cstheme="majorBidi"/>
        <w:b/>
        <w:bCs/>
      </w:rPr>
      <w:fldChar w:fldCharType="end"/>
    </w:r>
  </w:p>
  <w:p w:rsidR="00D54483" w:rsidRDefault="00D54483" w:rsidP="00BD60F7">
    <w:pPr>
      <w:pStyle w:val="Header"/>
      <w:rPr>
        <w:rFonts w:asciiTheme="majorBidi" w:hAnsiTheme="majorBidi" w:cstheme="majorBidi"/>
        <w:b/>
        <w:bCs/>
        <w:noProof/>
      </w:rPr>
    </w:pPr>
  </w:p>
  <w:p w:rsidR="00D54483" w:rsidRPr="007608DB" w:rsidRDefault="00D54483" w:rsidP="00BD60F7">
    <w:pPr>
      <w:pStyle w:val="Header"/>
      <w:rPr>
        <w:rFonts w:asciiTheme="majorBidi" w:hAnsiTheme="majorBidi" w:cstheme="majorBidi"/>
        <w:b/>
        <w:bC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483" w:rsidRPr="007608DB" w:rsidRDefault="00D54483" w:rsidP="00BD60F7">
    <w:pPr>
      <w:pStyle w:val="Header"/>
      <w:jc w:val="right"/>
      <w:rPr>
        <w:rFonts w:asciiTheme="majorBidi" w:hAnsiTheme="majorBidi" w:cstheme="majorBidi"/>
        <w:b/>
        <w:bCs/>
      </w:rPr>
    </w:pPr>
    <w:r>
      <w:rPr>
        <w:rFonts w:asciiTheme="majorBidi" w:hAnsiTheme="majorBidi"/>
        <w:b/>
        <w:bCs/>
      </w:rPr>
      <w:t>CPS/Septième Réunion des directeurs de la santé /Document 7</w:t>
    </w:r>
  </w:p>
  <w:p w:rsidR="00D54483" w:rsidRDefault="00D54483" w:rsidP="00BD60F7">
    <w:pPr>
      <w:pStyle w:val="Header"/>
      <w:jc w:val="right"/>
      <w:rPr>
        <w:rFonts w:asciiTheme="majorBidi" w:hAnsiTheme="majorBidi" w:cstheme="majorBidi"/>
        <w:b/>
        <w:bCs/>
        <w:noProof/>
      </w:rPr>
    </w:pPr>
    <w:r>
      <w:rPr>
        <w:rFonts w:asciiTheme="majorBidi" w:hAnsiTheme="majorBidi"/>
        <w:b/>
        <w:bCs/>
      </w:rPr>
      <w:t xml:space="preserve">page </w:t>
    </w:r>
    <w:r w:rsidRPr="007608DB">
      <w:rPr>
        <w:rFonts w:asciiTheme="majorBidi" w:hAnsiTheme="majorBidi" w:cstheme="majorBidi"/>
        <w:b/>
        <w:bCs/>
      </w:rPr>
      <w:fldChar w:fldCharType="begin"/>
    </w:r>
    <w:r w:rsidRPr="007608DB">
      <w:rPr>
        <w:rFonts w:asciiTheme="majorBidi" w:hAnsiTheme="majorBidi" w:cstheme="majorBidi"/>
        <w:b/>
        <w:bCs/>
      </w:rPr>
      <w:instrText xml:space="preserve"> PAGE   \* MERGEFORMAT </w:instrText>
    </w:r>
    <w:r w:rsidRPr="007608DB">
      <w:rPr>
        <w:rFonts w:asciiTheme="majorBidi" w:hAnsiTheme="majorBidi" w:cstheme="majorBidi"/>
        <w:b/>
        <w:bCs/>
      </w:rPr>
      <w:fldChar w:fldCharType="separate"/>
    </w:r>
    <w:r w:rsidR="00895403">
      <w:rPr>
        <w:rFonts w:asciiTheme="majorBidi" w:hAnsiTheme="majorBidi" w:cstheme="majorBidi"/>
        <w:b/>
        <w:bCs/>
        <w:noProof/>
      </w:rPr>
      <w:t>15</w:t>
    </w:r>
    <w:r w:rsidRPr="007608DB">
      <w:rPr>
        <w:rFonts w:asciiTheme="majorBidi" w:hAnsiTheme="majorBidi" w:cstheme="majorBidi"/>
        <w:b/>
        <w:bCs/>
      </w:rPr>
      <w:fldChar w:fldCharType="end"/>
    </w:r>
  </w:p>
  <w:p w:rsidR="00D54483" w:rsidRDefault="00D54483" w:rsidP="00BD60F7">
    <w:pPr>
      <w:pStyle w:val="Header"/>
      <w:jc w:val="right"/>
      <w:rPr>
        <w:rFonts w:asciiTheme="majorBidi" w:hAnsiTheme="majorBidi" w:cstheme="majorBidi"/>
        <w:b/>
        <w:bCs/>
        <w:noProof/>
      </w:rPr>
    </w:pPr>
  </w:p>
  <w:p w:rsidR="00D54483" w:rsidRPr="007608DB" w:rsidRDefault="00D54483" w:rsidP="00BD60F7">
    <w:pPr>
      <w:pStyle w:val="Header"/>
      <w:jc w:val="right"/>
      <w:rPr>
        <w:rFonts w:asciiTheme="majorBidi" w:hAnsiTheme="majorBidi" w:cstheme="majorBidi"/>
        <w:b/>
        <w:b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B641A"/>
    <w:multiLevelType w:val="hybridMultilevel"/>
    <w:tmpl w:val="27C2CBB2"/>
    <w:lvl w:ilvl="0" w:tplc="32F8A7CC">
      <w:numFmt w:val="bullet"/>
      <w:lvlText w:val="•"/>
      <w:lvlJc w:val="left"/>
      <w:pPr>
        <w:ind w:left="360" w:hanging="72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5BE7783"/>
    <w:multiLevelType w:val="hybridMultilevel"/>
    <w:tmpl w:val="65FCD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E62902"/>
    <w:multiLevelType w:val="hybridMultilevel"/>
    <w:tmpl w:val="F8B86A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A6F74AF"/>
    <w:multiLevelType w:val="hybridMultilevel"/>
    <w:tmpl w:val="35AA444A"/>
    <w:lvl w:ilvl="0" w:tplc="08090015">
      <w:start w:val="1"/>
      <w:numFmt w:val="upperLetter"/>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12406463"/>
    <w:multiLevelType w:val="hybridMultilevel"/>
    <w:tmpl w:val="05F833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nsid w:val="15CB306E"/>
    <w:multiLevelType w:val="hybridMultilevel"/>
    <w:tmpl w:val="2E5E3E9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65560A5"/>
    <w:multiLevelType w:val="hybridMultilevel"/>
    <w:tmpl w:val="E2185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590D36"/>
    <w:multiLevelType w:val="hybridMultilevel"/>
    <w:tmpl w:val="E0560620"/>
    <w:lvl w:ilvl="0" w:tplc="4A864F42">
      <w:start w:val="1"/>
      <w:numFmt w:val="bullet"/>
      <w:lvlText w:val="•"/>
      <w:lvlJc w:val="left"/>
      <w:pPr>
        <w:tabs>
          <w:tab w:val="num" w:pos="720"/>
        </w:tabs>
        <w:ind w:left="720" w:hanging="360"/>
      </w:pPr>
      <w:rPr>
        <w:rFonts w:ascii="Arial" w:hAnsi="Arial" w:hint="default"/>
      </w:rPr>
    </w:lvl>
    <w:lvl w:ilvl="1" w:tplc="00BC7D1E">
      <w:start w:val="1655"/>
      <w:numFmt w:val="bullet"/>
      <w:lvlText w:val="•"/>
      <w:lvlJc w:val="left"/>
      <w:pPr>
        <w:tabs>
          <w:tab w:val="num" w:pos="1440"/>
        </w:tabs>
        <w:ind w:left="1440" w:hanging="360"/>
      </w:pPr>
      <w:rPr>
        <w:rFonts w:ascii="Arial" w:hAnsi="Arial" w:hint="default"/>
      </w:rPr>
    </w:lvl>
    <w:lvl w:ilvl="2" w:tplc="72D27C2C" w:tentative="1">
      <w:start w:val="1"/>
      <w:numFmt w:val="bullet"/>
      <w:lvlText w:val="•"/>
      <w:lvlJc w:val="left"/>
      <w:pPr>
        <w:tabs>
          <w:tab w:val="num" w:pos="2160"/>
        </w:tabs>
        <w:ind w:left="2160" w:hanging="360"/>
      </w:pPr>
      <w:rPr>
        <w:rFonts w:ascii="Arial" w:hAnsi="Arial" w:hint="default"/>
      </w:rPr>
    </w:lvl>
    <w:lvl w:ilvl="3" w:tplc="46E2CF28" w:tentative="1">
      <w:start w:val="1"/>
      <w:numFmt w:val="bullet"/>
      <w:lvlText w:val="•"/>
      <w:lvlJc w:val="left"/>
      <w:pPr>
        <w:tabs>
          <w:tab w:val="num" w:pos="2880"/>
        </w:tabs>
        <w:ind w:left="2880" w:hanging="360"/>
      </w:pPr>
      <w:rPr>
        <w:rFonts w:ascii="Arial" w:hAnsi="Arial" w:hint="default"/>
      </w:rPr>
    </w:lvl>
    <w:lvl w:ilvl="4" w:tplc="DE3AD188" w:tentative="1">
      <w:start w:val="1"/>
      <w:numFmt w:val="bullet"/>
      <w:lvlText w:val="•"/>
      <w:lvlJc w:val="left"/>
      <w:pPr>
        <w:tabs>
          <w:tab w:val="num" w:pos="3600"/>
        </w:tabs>
        <w:ind w:left="3600" w:hanging="360"/>
      </w:pPr>
      <w:rPr>
        <w:rFonts w:ascii="Arial" w:hAnsi="Arial" w:hint="default"/>
      </w:rPr>
    </w:lvl>
    <w:lvl w:ilvl="5" w:tplc="D836140E" w:tentative="1">
      <w:start w:val="1"/>
      <w:numFmt w:val="bullet"/>
      <w:lvlText w:val="•"/>
      <w:lvlJc w:val="left"/>
      <w:pPr>
        <w:tabs>
          <w:tab w:val="num" w:pos="4320"/>
        </w:tabs>
        <w:ind w:left="4320" w:hanging="360"/>
      </w:pPr>
      <w:rPr>
        <w:rFonts w:ascii="Arial" w:hAnsi="Arial" w:hint="default"/>
      </w:rPr>
    </w:lvl>
    <w:lvl w:ilvl="6" w:tplc="CF8A9012" w:tentative="1">
      <w:start w:val="1"/>
      <w:numFmt w:val="bullet"/>
      <w:lvlText w:val="•"/>
      <w:lvlJc w:val="left"/>
      <w:pPr>
        <w:tabs>
          <w:tab w:val="num" w:pos="5040"/>
        </w:tabs>
        <w:ind w:left="5040" w:hanging="360"/>
      </w:pPr>
      <w:rPr>
        <w:rFonts w:ascii="Arial" w:hAnsi="Arial" w:hint="default"/>
      </w:rPr>
    </w:lvl>
    <w:lvl w:ilvl="7" w:tplc="653079AC" w:tentative="1">
      <w:start w:val="1"/>
      <w:numFmt w:val="bullet"/>
      <w:lvlText w:val="•"/>
      <w:lvlJc w:val="left"/>
      <w:pPr>
        <w:tabs>
          <w:tab w:val="num" w:pos="5760"/>
        </w:tabs>
        <w:ind w:left="5760" w:hanging="360"/>
      </w:pPr>
      <w:rPr>
        <w:rFonts w:ascii="Arial" w:hAnsi="Arial" w:hint="default"/>
      </w:rPr>
    </w:lvl>
    <w:lvl w:ilvl="8" w:tplc="1BF8678C" w:tentative="1">
      <w:start w:val="1"/>
      <w:numFmt w:val="bullet"/>
      <w:lvlText w:val="•"/>
      <w:lvlJc w:val="left"/>
      <w:pPr>
        <w:tabs>
          <w:tab w:val="num" w:pos="6480"/>
        </w:tabs>
        <w:ind w:left="6480" w:hanging="360"/>
      </w:pPr>
      <w:rPr>
        <w:rFonts w:ascii="Arial" w:hAnsi="Arial" w:hint="default"/>
      </w:rPr>
    </w:lvl>
  </w:abstractNum>
  <w:abstractNum w:abstractNumId="8">
    <w:nsid w:val="16806CDD"/>
    <w:multiLevelType w:val="hybridMultilevel"/>
    <w:tmpl w:val="716465C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nsid w:val="1BA713CC"/>
    <w:multiLevelType w:val="hybridMultilevel"/>
    <w:tmpl w:val="A68CC17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1D2F3F55"/>
    <w:multiLevelType w:val="hybridMultilevel"/>
    <w:tmpl w:val="B6FECD52"/>
    <w:lvl w:ilvl="0" w:tplc="F040599A">
      <w:start w:val="1"/>
      <w:numFmt w:val="bullet"/>
      <w:lvlText w:val="•"/>
      <w:lvlJc w:val="left"/>
      <w:pPr>
        <w:tabs>
          <w:tab w:val="num" w:pos="360"/>
        </w:tabs>
        <w:ind w:left="36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E8C28C4"/>
    <w:multiLevelType w:val="hybridMultilevel"/>
    <w:tmpl w:val="5A70E6B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F0E0A9D"/>
    <w:multiLevelType w:val="hybridMultilevel"/>
    <w:tmpl w:val="C078542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nsid w:val="24812107"/>
    <w:multiLevelType w:val="hybridMultilevel"/>
    <w:tmpl w:val="5DF033E2"/>
    <w:lvl w:ilvl="0" w:tplc="F040599A">
      <w:start w:val="1"/>
      <w:numFmt w:val="bullet"/>
      <w:lvlText w:val="•"/>
      <w:lvlJc w:val="left"/>
      <w:pPr>
        <w:tabs>
          <w:tab w:val="num" w:pos="360"/>
        </w:tabs>
        <w:ind w:left="360" w:hanging="360"/>
      </w:pPr>
      <w:rPr>
        <w:rFonts w:ascii="Arial" w:hAnsi="Arial" w:hint="default"/>
      </w:rPr>
    </w:lvl>
    <w:lvl w:ilvl="1" w:tplc="FD36CBB4">
      <w:start w:val="1"/>
      <w:numFmt w:val="bullet"/>
      <w:lvlText w:val="•"/>
      <w:lvlJc w:val="left"/>
      <w:pPr>
        <w:tabs>
          <w:tab w:val="num" w:pos="1080"/>
        </w:tabs>
        <w:ind w:left="1080" w:hanging="360"/>
      </w:pPr>
      <w:rPr>
        <w:rFonts w:ascii="Arial" w:hAnsi="Arial" w:hint="default"/>
      </w:rPr>
    </w:lvl>
    <w:lvl w:ilvl="2" w:tplc="5546C9E4" w:tentative="1">
      <w:start w:val="1"/>
      <w:numFmt w:val="bullet"/>
      <w:lvlText w:val="•"/>
      <w:lvlJc w:val="left"/>
      <w:pPr>
        <w:tabs>
          <w:tab w:val="num" w:pos="1800"/>
        </w:tabs>
        <w:ind w:left="1800" w:hanging="360"/>
      </w:pPr>
      <w:rPr>
        <w:rFonts w:ascii="Arial" w:hAnsi="Arial" w:hint="default"/>
      </w:rPr>
    </w:lvl>
    <w:lvl w:ilvl="3" w:tplc="C35E9D10" w:tentative="1">
      <w:start w:val="1"/>
      <w:numFmt w:val="bullet"/>
      <w:lvlText w:val="•"/>
      <w:lvlJc w:val="left"/>
      <w:pPr>
        <w:tabs>
          <w:tab w:val="num" w:pos="2520"/>
        </w:tabs>
        <w:ind w:left="2520" w:hanging="360"/>
      </w:pPr>
      <w:rPr>
        <w:rFonts w:ascii="Arial" w:hAnsi="Arial" w:hint="default"/>
      </w:rPr>
    </w:lvl>
    <w:lvl w:ilvl="4" w:tplc="DC0AF0A6" w:tentative="1">
      <w:start w:val="1"/>
      <w:numFmt w:val="bullet"/>
      <w:lvlText w:val="•"/>
      <w:lvlJc w:val="left"/>
      <w:pPr>
        <w:tabs>
          <w:tab w:val="num" w:pos="3240"/>
        </w:tabs>
        <w:ind w:left="3240" w:hanging="360"/>
      </w:pPr>
      <w:rPr>
        <w:rFonts w:ascii="Arial" w:hAnsi="Arial" w:hint="default"/>
      </w:rPr>
    </w:lvl>
    <w:lvl w:ilvl="5" w:tplc="C9F0A56C" w:tentative="1">
      <w:start w:val="1"/>
      <w:numFmt w:val="bullet"/>
      <w:lvlText w:val="•"/>
      <w:lvlJc w:val="left"/>
      <w:pPr>
        <w:tabs>
          <w:tab w:val="num" w:pos="3960"/>
        </w:tabs>
        <w:ind w:left="3960" w:hanging="360"/>
      </w:pPr>
      <w:rPr>
        <w:rFonts w:ascii="Arial" w:hAnsi="Arial" w:hint="default"/>
      </w:rPr>
    </w:lvl>
    <w:lvl w:ilvl="6" w:tplc="AFC816BC" w:tentative="1">
      <w:start w:val="1"/>
      <w:numFmt w:val="bullet"/>
      <w:lvlText w:val="•"/>
      <w:lvlJc w:val="left"/>
      <w:pPr>
        <w:tabs>
          <w:tab w:val="num" w:pos="4680"/>
        </w:tabs>
        <w:ind w:left="4680" w:hanging="360"/>
      </w:pPr>
      <w:rPr>
        <w:rFonts w:ascii="Arial" w:hAnsi="Arial" w:hint="default"/>
      </w:rPr>
    </w:lvl>
    <w:lvl w:ilvl="7" w:tplc="A5E483AE" w:tentative="1">
      <w:start w:val="1"/>
      <w:numFmt w:val="bullet"/>
      <w:lvlText w:val="•"/>
      <w:lvlJc w:val="left"/>
      <w:pPr>
        <w:tabs>
          <w:tab w:val="num" w:pos="5400"/>
        </w:tabs>
        <w:ind w:left="5400" w:hanging="360"/>
      </w:pPr>
      <w:rPr>
        <w:rFonts w:ascii="Arial" w:hAnsi="Arial" w:hint="default"/>
      </w:rPr>
    </w:lvl>
    <w:lvl w:ilvl="8" w:tplc="11704824" w:tentative="1">
      <w:start w:val="1"/>
      <w:numFmt w:val="bullet"/>
      <w:lvlText w:val="•"/>
      <w:lvlJc w:val="left"/>
      <w:pPr>
        <w:tabs>
          <w:tab w:val="num" w:pos="6120"/>
        </w:tabs>
        <w:ind w:left="6120" w:hanging="360"/>
      </w:pPr>
      <w:rPr>
        <w:rFonts w:ascii="Arial" w:hAnsi="Arial" w:hint="default"/>
      </w:rPr>
    </w:lvl>
  </w:abstractNum>
  <w:abstractNum w:abstractNumId="14">
    <w:nsid w:val="2CC66712"/>
    <w:multiLevelType w:val="hybridMultilevel"/>
    <w:tmpl w:val="26BA0E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5540901"/>
    <w:multiLevelType w:val="hybridMultilevel"/>
    <w:tmpl w:val="B69C1DCC"/>
    <w:lvl w:ilvl="0" w:tplc="D682D1D6">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58C0C88"/>
    <w:multiLevelType w:val="hybridMultilevel"/>
    <w:tmpl w:val="B96E550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36261259"/>
    <w:multiLevelType w:val="hybridMultilevel"/>
    <w:tmpl w:val="22A0A246"/>
    <w:lvl w:ilvl="0" w:tplc="F040599A">
      <w:start w:val="1"/>
      <w:numFmt w:val="bullet"/>
      <w:lvlText w:val="•"/>
      <w:lvlJc w:val="left"/>
      <w:pPr>
        <w:tabs>
          <w:tab w:val="num" w:pos="360"/>
        </w:tabs>
        <w:ind w:left="36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7556E58"/>
    <w:multiLevelType w:val="hybridMultilevel"/>
    <w:tmpl w:val="4D4016F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3B89413E"/>
    <w:multiLevelType w:val="hybridMultilevel"/>
    <w:tmpl w:val="645EF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1790368"/>
    <w:multiLevelType w:val="hybridMultilevel"/>
    <w:tmpl w:val="96B07282"/>
    <w:lvl w:ilvl="0" w:tplc="32F8A7CC">
      <w:numFmt w:val="bullet"/>
      <w:lvlText w:val="•"/>
      <w:lvlJc w:val="left"/>
      <w:pPr>
        <w:ind w:left="360" w:hanging="72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1D67FFA"/>
    <w:multiLevelType w:val="hybridMultilevel"/>
    <w:tmpl w:val="C96245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3DB79EA"/>
    <w:multiLevelType w:val="hybridMultilevel"/>
    <w:tmpl w:val="B49C4784"/>
    <w:lvl w:ilvl="0" w:tplc="04090003">
      <w:start w:val="1"/>
      <w:numFmt w:val="bullet"/>
      <w:lvlText w:val="o"/>
      <w:lvlJc w:val="left"/>
      <w:pPr>
        <w:ind w:left="1620" w:hanging="360"/>
      </w:pPr>
      <w:rPr>
        <w:rFonts w:ascii="Courier New" w:hAnsi="Courier New" w:cs="Courier New"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3">
    <w:nsid w:val="46974DB1"/>
    <w:multiLevelType w:val="hybridMultilevel"/>
    <w:tmpl w:val="8C02A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7A29DE"/>
    <w:multiLevelType w:val="hybridMultilevel"/>
    <w:tmpl w:val="BE38FC3C"/>
    <w:lvl w:ilvl="0" w:tplc="04090001">
      <w:start w:val="1"/>
      <w:numFmt w:val="bullet"/>
      <w:lvlText w:val=""/>
      <w:lvlJc w:val="left"/>
      <w:pPr>
        <w:ind w:left="1102" w:hanging="360"/>
      </w:pPr>
      <w:rPr>
        <w:rFonts w:ascii="Symbol" w:hAnsi="Symbol" w:hint="default"/>
      </w:rPr>
    </w:lvl>
    <w:lvl w:ilvl="1" w:tplc="04090003" w:tentative="1">
      <w:start w:val="1"/>
      <w:numFmt w:val="bullet"/>
      <w:lvlText w:val="o"/>
      <w:lvlJc w:val="left"/>
      <w:pPr>
        <w:ind w:left="1822" w:hanging="360"/>
      </w:pPr>
      <w:rPr>
        <w:rFonts w:ascii="Courier New" w:hAnsi="Courier New" w:cs="Courier New" w:hint="default"/>
      </w:rPr>
    </w:lvl>
    <w:lvl w:ilvl="2" w:tplc="04090005" w:tentative="1">
      <w:start w:val="1"/>
      <w:numFmt w:val="bullet"/>
      <w:lvlText w:val=""/>
      <w:lvlJc w:val="left"/>
      <w:pPr>
        <w:ind w:left="2542" w:hanging="360"/>
      </w:pPr>
      <w:rPr>
        <w:rFonts w:ascii="Wingdings" w:hAnsi="Wingdings" w:hint="default"/>
      </w:rPr>
    </w:lvl>
    <w:lvl w:ilvl="3" w:tplc="04090001" w:tentative="1">
      <w:start w:val="1"/>
      <w:numFmt w:val="bullet"/>
      <w:lvlText w:val=""/>
      <w:lvlJc w:val="left"/>
      <w:pPr>
        <w:ind w:left="3262" w:hanging="360"/>
      </w:pPr>
      <w:rPr>
        <w:rFonts w:ascii="Symbol" w:hAnsi="Symbol" w:hint="default"/>
      </w:rPr>
    </w:lvl>
    <w:lvl w:ilvl="4" w:tplc="04090003" w:tentative="1">
      <w:start w:val="1"/>
      <w:numFmt w:val="bullet"/>
      <w:lvlText w:val="o"/>
      <w:lvlJc w:val="left"/>
      <w:pPr>
        <w:ind w:left="3982" w:hanging="360"/>
      </w:pPr>
      <w:rPr>
        <w:rFonts w:ascii="Courier New" w:hAnsi="Courier New" w:cs="Courier New" w:hint="default"/>
      </w:rPr>
    </w:lvl>
    <w:lvl w:ilvl="5" w:tplc="04090005" w:tentative="1">
      <w:start w:val="1"/>
      <w:numFmt w:val="bullet"/>
      <w:lvlText w:val=""/>
      <w:lvlJc w:val="left"/>
      <w:pPr>
        <w:ind w:left="4702" w:hanging="360"/>
      </w:pPr>
      <w:rPr>
        <w:rFonts w:ascii="Wingdings" w:hAnsi="Wingdings" w:hint="default"/>
      </w:rPr>
    </w:lvl>
    <w:lvl w:ilvl="6" w:tplc="04090001" w:tentative="1">
      <w:start w:val="1"/>
      <w:numFmt w:val="bullet"/>
      <w:lvlText w:val=""/>
      <w:lvlJc w:val="left"/>
      <w:pPr>
        <w:ind w:left="5422" w:hanging="360"/>
      </w:pPr>
      <w:rPr>
        <w:rFonts w:ascii="Symbol" w:hAnsi="Symbol" w:hint="default"/>
      </w:rPr>
    </w:lvl>
    <w:lvl w:ilvl="7" w:tplc="04090003" w:tentative="1">
      <w:start w:val="1"/>
      <w:numFmt w:val="bullet"/>
      <w:lvlText w:val="o"/>
      <w:lvlJc w:val="left"/>
      <w:pPr>
        <w:ind w:left="6142" w:hanging="360"/>
      </w:pPr>
      <w:rPr>
        <w:rFonts w:ascii="Courier New" w:hAnsi="Courier New" w:cs="Courier New" w:hint="default"/>
      </w:rPr>
    </w:lvl>
    <w:lvl w:ilvl="8" w:tplc="04090005" w:tentative="1">
      <w:start w:val="1"/>
      <w:numFmt w:val="bullet"/>
      <w:lvlText w:val=""/>
      <w:lvlJc w:val="left"/>
      <w:pPr>
        <w:ind w:left="6862" w:hanging="360"/>
      </w:pPr>
      <w:rPr>
        <w:rFonts w:ascii="Wingdings" w:hAnsi="Wingdings" w:hint="default"/>
      </w:rPr>
    </w:lvl>
  </w:abstractNum>
  <w:abstractNum w:abstractNumId="25">
    <w:nsid w:val="4E1D6513"/>
    <w:multiLevelType w:val="hybridMultilevel"/>
    <w:tmpl w:val="90849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07B329D"/>
    <w:multiLevelType w:val="hybridMultilevel"/>
    <w:tmpl w:val="381AA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B163348"/>
    <w:multiLevelType w:val="hybridMultilevel"/>
    <w:tmpl w:val="288CCA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C090D91"/>
    <w:multiLevelType w:val="hybridMultilevel"/>
    <w:tmpl w:val="3BC8E8B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nsid w:val="62F052B6"/>
    <w:multiLevelType w:val="hybridMultilevel"/>
    <w:tmpl w:val="268C3D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3980AEB"/>
    <w:multiLevelType w:val="hybridMultilevel"/>
    <w:tmpl w:val="316C8528"/>
    <w:lvl w:ilvl="0" w:tplc="F040599A">
      <w:start w:val="1"/>
      <w:numFmt w:val="bullet"/>
      <w:lvlText w:val="•"/>
      <w:lvlJc w:val="left"/>
      <w:pPr>
        <w:tabs>
          <w:tab w:val="num" w:pos="360"/>
        </w:tabs>
        <w:ind w:left="36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3FE4B59"/>
    <w:multiLevelType w:val="hybridMultilevel"/>
    <w:tmpl w:val="E41CCA54"/>
    <w:lvl w:ilvl="0" w:tplc="2EDE851C">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7A32DE4"/>
    <w:multiLevelType w:val="hybridMultilevel"/>
    <w:tmpl w:val="B5D42AD0"/>
    <w:lvl w:ilvl="0" w:tplc="32F8A7CC">
      <w:numFmt w:val="bullet"/>
      <w:lvlText w:val="•"/>
      <w:lvlJc w:val="left"/>
      <w:pPr>
        <w:ind w:left="360" w:hanging="720"/>
      </w:pPr>
      <w:rPr>
        <w:rFonts w:ascii="Calibri" w:eastAsiaTheme="minorEastAsia" w:hAnsi="Calibri" w:cstheme="minorBidi"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33">
    <w:nsid w:val="6B5024E4"/>
    <w:multiLevelType w:val="hybridMultilevel"/>
    <w:tmpl w:val="E16217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6E627978"/>
    <w:multiLevelType w:val="hybridMultilevel"/>
    <w:tmpl w:val="B210B91C"/>
    <w:lvl w:ilvl="0" w:tplc="9BF81C8E">
      <w:start w:val="1"/>
      <w:numFmt w:val="upperLetter"/>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71367642"/>
    <w:multiLevelType w:val="hybridMultilevel"/>
    <w:tmpl w:val="46B84D2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nsid w:val="71A35B42"/>
    <w:multiLevelType w:val="hybridMultilevel"/>
    <w:tmpl w:val="5B483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2707AC9"/>
    <w:multiLevelType w:val="hybridMultilevel"/>
    <w:tmpl w:val="9C9ED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2740EA1"/>
    <w:multiLevelType w:val="hybridMultilevel"/>
    <w:tmpl w:val="E8B29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A9B632A"/>
    <w:multiLevelType w:val="hybridMultilevel"/>
    <w:tmpl w:val="0F20AC40"/>
    <w:lvl w:ilvl="0" w:tplc="EECEFAAA">
      <w:start w:val="1"/>
      <w:numFmt w:val="upperLetter"/>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7AED29AA"/>
    <w:multiLevelType w:val="hybridMultilevel"/>
    <w:tmpl w:val="3774B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37"/>
  </w:num>
  <w:num w:numId="3">
    <w:abstractNumId w:val="40"/>
  </w:num>
  <w:num w:numId="4">
    <w:abstractNumId w:val="31"/>
  </w:num>
  <w:num w:numId="5">
    <w:abstractNumId w:val="6"/>
  </w:num>
  <w:num w:numId="6">
    <w:abstractNumId w:val="25"/>
  </w:num>
  <w:num w:numId="7">
    <w:abstractNumId w:val="32"/>
  </w:num>
  <w:num w:numId="8">
    <w:abstractNumId w:val="2"/>
  </w:num>
  <w:num w:numId="9">
    <w:abstractNumId w:val="0"/>
  </w:num>
  <w:num w:numId="10">
    <w:abstractNumId w:val="13"/>
  </w:num>
  <w:num w:numId="11">
    <w:abstractNumId w:val="20"/>
  </w:num>
  <w:num w:numId="12">
    <w:abstractNumId w:val="17"/>
  </w:num>
  <w:num w:numId="13">
    <w:abstractNumId w:val="30"/>
  </w:num>
  <w:num w:numId="14">
    <w:abstractNumId w:val="10"/>
  </w:num>
  <w:num w:numId="15">
    <w:abstractNumId w:val="7"/>
  </w:num>
  <w:num w:numId="16">
    <w:abstractNumId w:val="14"/>
  </w:num>
  <w:num w:numId="17">
    <w:abstractNumId w:val="26"/>
  </w:num>
  <w:num w:numId="18">
    <w:abstractNumId w:val="27"/>
  </w:num>
  <w:num w:numId="19">
    <w:abstractNumId w:val="29"/>
  </w:num>
  <w:num w:numId="20">
    <w:abstractNumId w:val="1"/>
  </w:num>
  <w:num w:numId="21">
    <w:abstractNumId w:val="36"/>
  </w:num>
  <w:num w:numId="22">
    <w:abstractNumId w:val="33"/>
  </w:num>
  <w:num w:numId="23">
    <w:abstractNumId w:val="15"/>
  </w:num>
  <w:num w:numId="24">
    <w:abstractNumId w:val="28"/>
  </w:num>
  <w:num w:numId="25">
    <w:abstractNumId w:val="8"/>
  </w:num>
  <w:num w:numId="26">
    <w:abstractNumId w:val="4"/>
  </w:num>
  <w:num w:numId="27">
    <w:abstractNumId w:val="35"/>
  </w:num>
  <w:num w:numId="28">
    <w:abstractNumId w:val="12"/>
  </w:num>
  <w:num w:numId="29">
    <w:abstractNumId w:val="18"/>
  </w:num>
  <w:num w:numId="30">
    <w:abstractNumId w:val="5"/>
  </w:num>
  <w:num w:numId="31">
    <w:abstractNumId w:val="11"/>
  </w:num>
  <w:num w:numId="32">
    <w:abstractNumId w:val="21"/>
  </w:num>
  <w:num w:numId="33">
    <w:abstractNumId w:val="3"/>
  </w:num>
  <w:num w:numId="34">
    <w:abstractNumId w:val="34"/>
  </w:num>
  <w:num w:numId="35">
    <w:abstractNumId w:val="39"/>
  </w:num>
  <w:num w:numId="36">
    <w:abstractNumId w:val="19"/>
  </w:num>
  <w:num w:numId="37">
    <w:abstractNumId w:val="24"/>
  </w:num>
  <w:num w:numId="38">
    <w:abstractNumId w:val="22"/>
  </w:num>
  <w:num w:numId="39">
    <w:abstractNumId w:val="23"/>
  </w:num>
  <w:num w:numId="40">
    <w:abstractNumId w:val="38"/>
  </w:num>
  <w:num w:numId="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
  <w:activeWritingStyle w:appName="MSWord" w:lang="fr-FR" w:vendorID="64" w:dllVersion="6" w:nlCheck="1" w:checkStyle="0"/>
  <w:activeWritingStyle w:appName="MSWord" w:lang="en-GB" w:vendorID="64" w:dllVersion="6" w:nlCheck="1" w:checkStyle="1"/>
  <w:activeWritingStyle w:appName="MSWord" w:lang="en-NZ" w:vendorID="64" w:dllVersion="6" w:nlCheck="1" w:checkStyle="1"/>
  <w:activeWritingStyle w:appName="MSWord" w:lang="en-AU" w:vendorID="64" w:dllVersion="6" w:nlCheck="1" w:checkStyle="1"/>
  <w:activeWritingStyle w:appName="MSWord" w:lang="fr-FR" w:vendorID="64" w:dllVersion="131078" w:nlCheck="1" w:checkStyle="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A2BE3C59-295E-48E2-BE97-0CCCAAEFC5C6}"/>
    <w:docVar w:name="dgnword-eventsink" w:val="1971076842256"/>
  </w:docVars>
  <w:rsids>
    <w:rsidRoot w:val="000B22EA"/>
    <w:rsid w:val="00001BED"/>
    <w:rsid w:val="00002241"/>
    <w:rsid w:val="000028D0"/>
    <w:rsid w:val="000035A9"/>
    <w:rsid w:val="00005284"/>
    <w:rsid w:val="00011807"/>
    <w:rsid w:val="00021180"/>
    <w:rsid w:val="000212BC"/>
    <w:rsid w:val="00021611"/>
    <w:rsid w:val="000330E5"/>
    <w:rsid w:val="000357A1"/>
    <w:rsid w:val="00037A41"/>
    <w:rsid w:val="0004342F"/>
    <w:rsid w:val="0004524D"/>
    <w:rsid w:val="0004739D"/>
    <w:rsid w:val="00051326"/>
    <w:rsid w:val="000517AC"/>
    <w:rsid w:val="0005219D"/>
    <w:rsid w:val="00053881"/>
    <w:rsid w:val="00053FDA"/>
    <w:rsid w:val="0005758A"/>
    <w:rsid w:val="00057746"/>
    <w:rsid w:val="000609B3"/>
    <w:rsid w:val="000622A3"/>
    <w:rsid w:val="0006351E"/>
    <w:rsid w:val="00063FDB"/>
    <w:rsid w:val="000646B3"/>
    <w:rsid w:val="00065A23"/>
    <w:rsid w:val="00070C77"/>
    <w:rsid w:val="0007106D"/>
    <w:rsid w:val="00072074"/>
    <w:rsid w:val="000749DB"/>
    <w:rsid w:val="0007551E"/>
    <w:rsid w:val="00075B2E"/>
    <w:rsid w:val="00080A86"/>
    <w:rsid w:val="00080E73"/>
    <w:rsid w:val="00081EEF"/>
    <w:rsid w:val="00085516"/>
    <w:rsid w:val="0008603A"/>
    <w:rsid w:val="000865E3"/>
    <w:rsid w:val="00090851"/>
    <w:rsid w:val="00091DC6"/>
    <w:rsid w:val="000923BC"/>
    <w:rsid w:val="00092528"/>
    <w:rsid w:val="000940E0"/>
    <w:rsid w:val="0009537E"/>
    <w:rsid w:val="000964EF"/>
    <w:rsid w:val="000A1838"/>
    <w:rsid w:val="000A3107"/>
    <w:rsid w:val="000A4462"/>
    <w:rsid w:val="000A4CC5"/>
    <w:rsid w:val="000A6500"/>
    <w:rsid w:val="000A7661"/>
    <w:rsid w:val="000B07B4"/>
    <w:rsid w:val="000B22EA"/>
    <w:rsid w:val="000B2BA4"/>
    <w:rsid w:val="000B3376"/>
    <w:rsid w:val="000B683B"/>
    <w:rsid w:val="000B6A94"/>
    <w:rsid w:val="000C441F"/>
    <w:rsid w:val="000C617B"/>
    <w:rsid w:val="000C6336"/>
    <w:rsid w:val="000D032C"/>
    <w:rsid w:val="000D28B0"/>
    <w:rsid w:val="000D4B86"/>
    <w:rsid w:val="000D631C"/>
    <w:rsid w:val="000D70E9"/>
    <w:rsid w:val="000E0FE6"/>
    <w:rsid w:val="000E19CD"/>
    <w:rsid w:val="000E5212"/>
    <w:rsid w:val="000E6C33"/>
    <w:rsid w:val="000F0A55"/>
    <w:rsid w:val="000F17EA"/>
    <w:rsid w:val="000F34F6"/>
    <w:rsid w:val="0010585B"/>
    <w:rsid w:val="00106481"/>
    <w:rsid w:val="0010770D"/>
    <w:rsid w:val="00114B13"/>
    <w:rsid w:val="001214F0"/>
    <w:rsid w:val="001218CE"/>
    <w:rsid w:val="00124E49"/>
    <w:rsid w:val="00126794"/>
    <w:rsid w:val="00126D12"/>
    <w:rsid w:val="00137810"/>
    <w:rsid w:val="001478F5"/>
    <w:rsid w:val="00147EC4"/>
    <w:rsid w:val="00150E8C"/>
    <w:rsid w:val="00150F4C"/>
    <w:rsid w:val="00151416"/>
    <w:rsid w:val="00152E28"/>
    <w:rsid w:val="00154857"/>
    <w:rsid w:val="001549B8"/>
    <w:rsid w:val="0015752E"/>
    <w:rsid w:val="001645ED"/>
    <w:rsid w:val="001660FA"/>
    <w:rsid w:val="00166CD2"/>
    <w:rsid w:val="00166F39"/>
    <w:rsid w:val="00170ADA"/>
    <w:rsid w:val="0017197C"/>
    <w:rsid w:val="00172B5F"/>
    <w:rsid w:val="00173C3D"/>
    <w:rsid w:val="00176088"/>
    <w:rsid w:val="001775FD"/>
    <w:rsid w:val="00181925"/>
    <w:rsid w:val="00192CD9"/>
    <w:rsid w:val="00195526"/>
    <w:rsid w:val="001A068D"/>
    <w:rsid w:val="001A0F5F"/>
    <w:rsid w:val="001A18B9"/>
    <w:rsid w:val="001A2492"/>
    <w:rsid w:val="001B2385"/>
    <w:rsid w:val="001B53A5"/>
    <w:rsid w:val="001B595B"/>
    <w:rsid w:val="001C034B"/>
    <w:rsid w:val="001C1778"/>
    <w:rsid w:val="001C26B3"/>
    <w:rsid w:val="001C37CE"/>
    <w:rsid w:val="001C38F8"/>
    <w:rsid w:val="001E2E4F"/>
    <w:rsid w:val="001E46F5"/>
    <w:rsid w:val="001E4A38"/>
    <w:rsid w:val="001E5913"/>
    <w:rsid w:val="001E59B2"/>
    <w:rsid w:val="001F1D88"/>
    <w:rsid w:val="001F3354"/>
    <w:rsid w:val="001F6C62"/>
    <w:rsid w:val="001F7017"/>
    <w:rsid w:val="002007E7"/>
    <w:rsid w:val="00211607"/>
    <w:rsid w:val="00213FA9"/>
    <w:rsid w:val="00220E92"/>
    <w:rsid w:val="00221229"/>
    <w:rsid w:val="0022338A"/>
    <w:rsid w:val="00223E04"/>
    <w:rsid w:val="00223F11"/>
    <w:rsid w:val="00226E91"/>
    <w:rsid w:val="0022780C"/>
    <w:rsid w:val="00232B56"/>
    <w:rsid w:val="0023352A"/>
    <w:rsid w:val="00233644"/>
    <w:rsid w:val="002436A4"/>
    <w:rsid w:val="00251BFF"/>
    <w:rsid w:val="002564F0"/>
    <w:rsid w:val="00257D05"/>
    <w:rsid w:val="00260F9A"/>
    <w:rsid w:val="00262450"/>
    <w:rsid w:val="00262AEA"/>
    <w:rsid w:val="00265C4C"/>
    <w:rsid w:val="00266110"/>
    <w:rsid w:val="002677B3"/>
    <w:rsid w:val="00271D12"/>
    <w:rsid w:val="00271E93"/>
    <w:rsid w:val="0027335F"/>
    <w:rsid w:val="00274684"/>
    <w:rsid w:val="00274FBF"/>
    <w:rsid w:val="00275836"/>
    <w:rsid w:val="0027646C"/>
    <w:rsid w:val="00276BC2"/>
    <w:rsid w:val="00281C02"/>
    <w:rsid w:val="00283F3D"/>
    <w:rsid w:val="002840E5"/>
    <w:rsid w:val="00286272"/>
    <w:rsid w:val="00286473"/>
    <w:rsid w:val="00286D01"/>
    <w:rsid w:val="00287C2C"/>
    <w:rsid w:val="00290DA3"/>
    <w:rsid w:val="002916EE"/>
    <w:rsid w:val="00291DF6"/>
    <w:rsid w:val="00297BEB"/>
    <w:rsid w:val="002A0B3B"/>
    <w:rsid w:val="002A22F9"/>
    <w:rsid w:val="002A4128"/>
    <w:rsid w:val="002A5D02"/>
    <w:rsid w:val="002A6F1B"/>
    <w:rsid w:val="002B2044"/>
    <w:rsid w:val="002B4367"/>
    <w:rsid w:val="002B4B36"/>
    <w:rsid w:val="002B643D"/>
    <w:rsid w:val="002B6ECD"/>
    <w:rsid w:val="002C24B4"/>
    <w:rsid w:val="002C32BC"/>
    <w:rsid w:val="002C47A5"/>
    <w:rsid w:val="002C5CEB"/>
    <w:rsid w:val="002D04EA"/>
    <w:rsid w:val="002D0718"/>
    <w:rsid w:val="002D0C5D"/>
    <w:rsid w:val="002D43D8"/>
    <w:rsid w:val="002D4A80"/>
    <w:rsid w:val="002D7683"/>
    <w:rsid w:val="002F1038"/>
    <w:rsid w:val="002F24BA"/>
    <w:rsid w:val="002F267B"/>
    <w:rsid w:val="002F3C26"/>
    <w:rsid w:val="002F6AF0"/>
    <w:rsid w:val="002F7E87"/>
    <w:rsid w:val="00303F03"/>
    <w:rsid w:val="003160F4"/>
    <w:rsid w:val="00320BF8"/>
    <w:rsid w:val="00321839"/>
    <w:rsid w:val="00321B6E"/>
    <w:rsid w:val="00323F5A"/>
    <w:rsid w:val="003262C1"/>
    <w:rsid w:val="003307C6"/>
    <w:rsid w:val="003318EA"/>
    <w:rsid w:val="003321CF"/>
    <w:rsid w:val="00332BF4"/>
    <w:rsid w:val="00333DE1"/>
    <w:rsid w:val="00341DFC"/>
    <w:rsid w:val="003437FC"/>
    <w:rsid w:val="0034453B"/>
    <w:rsid w:val="00345E46"/>
    <w:rsid w:val="00347141"/>
    <w:rsid w:val="00347D57"/>
    <w:rsid w:val="00352346"/>
    <w:rsid w:val="003524DF"/>
    <w:rsid w:val="00352844"/>
    <w:rsid w:val="00361D92"/>
    <w:rsid w:val="00363999"/>
    <w:rsid w:val="00363B5A"/>
    <w:rsid w:val="003647B9"/>
    <w:rsid w:val="0037231D"/>
    <w:rsid w:val="00373184"/>
    <w:rsid w:val="00373585"/>
    <w:rsid w:val="0037460D"/>
    <w:rsid w:val="0038441E"/>
    <w:rsid w:val="003848C6"/>
    <w:rsid w:val="00391C32"/>
    <w:rsid w:val="003977B0"/>
    <w:rsid w:val="003A18F3"/>
    <w:rsid w:val="003A7A3E"/>
    <w:rsid w:val="003B0C3B"/>
    <w:rsid w:val="003B33B9"/>
    <w:rsid w:val="003B465A"/>
    <w:rsid w:val="003B603E"/>
    <w:rsid w:val="003C177F"/>
    <w:rsid w:val="003C1B8C"/>
    <w:rsid w:val="003C682D"/>
    <w:rsid w:val="003D00DA"/>
    <w:rsid w:val="003D0494"/>
    <w:rsid w:val="003D35A8"/>
    <w:rsid w:val="003D594F"/>
    <w:rsid w:val="003E4C41"/>
    <w:rsid w:val="003E5359"/>
    <w:rsid w:val="003E661C"/>
    <w:rsid w:val="003F0ED6"/>
    <w:rsid w:val="003F13A5"/>
    <w:rsid w:val="003F1F6A"/>
    <w:rsid w:val="003F782D"/>
    <w:rsid w:val="00403B84"/>
    <w:rsid w:val="0040421F"/>
    <w:rsid w:val="00405361"/>
    <w:rsid w:val="00412625"/>
    <w:rsid w:val="00413521"/>
    <w:rsid w:val="00422252"/>
    <w:rsid w:val="00424479"/>
    <w:rsid w:val="00424E69"/>
    <w:rsid w:val="0042627B"/>
    <w:rsid w:val="00434873"/>
    <w:rsid w:val="00436C80"/>
    <w:rsid w:val="00440011"/>
    <w:rsid w:val="0044045F"/>
    <w:rsid w:val="004438C0"/>
    <w:rsid w:val="00453276"/>
    <w:rsid w:val="00457E6A"/>
    <w:rsid w:val="00461CDE"/>
    <w:rsid w:val="004657B5"/>
    <w:rsid w:val="00471432"/>
    <w:rsid w:val="004719D7"/>
    <w:rsid w:val="0047652F"/>
    <w:rsid w:val="004805A7"/>
    <w:rsid w:val="00483A00"/>
    <w:rsid w:val="00483B3A"/>
    <w:rsid w:val="00487AA0"/>
    <w:rsid w:val="00492385"/>
    <w:rsid w:val="0049356C"/>
    <w:rsid w:val="00496AC7"/>
    <w:rsid w:val="004A1C60"/>
    <w:rsid w:val="004A2696"/>
    <w:rsid w:val="004A6307"/>
    <w:rsid w:val="004A6502"/>
    <w:rsid w:val="004B32E7"/>
    <w:rsid w:val="004B3EA8"/>
    <w:rsid w:val="004B441F"/>
    <w:rsid w:val="004B5D52"/>
    <w:rsid w:val="004B716B"/>
    <w:rsid w:val="004B78B6"/>
    <w:rsid w:val="004C2BF6"/>
    <w:rsid w:val="004C3CA8"/>
    <w:rsid w:val="004C5D38"/>
    <w:rsid w:val="004D43AC"/>
    <w:rsid w:val="004D57E5"/>
    <w:rsid w:val="004D5B05"/>
    <w:rsid w:val="004E05DF"/>
    <w:rsid w:val="004E0DBC"/>
    <w:rsid w:val="004E1B5C"/>
    <w:rsid w:val="004E2230"/>
    <w:rsid w:val="004E4609"/>
    <w:rsid w:val="004E480B"/>
    <w:rsid w:val="004E4A10"/>
    <w:rsid w:val="004E4A66"/>
    <w:rsid w:val="004E4B10"/>
    <w:rsid w:val="0050422B"/>
    <w:rsid w:val="0050591B"/>
    <w:rsid w:val="00516E7B"/>
    <w:rsid w:val="00517445"/>
    <w:rsid w:val="00520092"/>
    <w:rsid w:val="00523403"/>
    <w:rsid w:val="00533B65"/>
    <w:rsid w:val="00534DFF"/>
    <w:rsid w:val="00536E61"/>
    <w:rsid w:val="00544620"/>
    <w:rsid w:val="00551A4B"/>
    <w:rsid w:val="00552611"/>
    <w:rsid w:val="00552A13"/>
    <w:rsid w:val="00554442"/>
    <w:rsid w:val="00554C75"/>
    <w:rsid w:val="00556CF2"/>
    <w:rsid w:val="00556FA3"/>
    <w:rsid w:val="005574DA"/>
    <w:rsid w:val="00560443"/>
    <w:rsid w:val="00560E73"/>
    <w:rsid w:val="00564AEE"/>
    <w:rsid w:val="00567814"/>
    <w:rsid w:val="0057066F"/>
    <w:rsid w:val="0057123F"/>
    <w:rsid w:val="00573F62"/>
    <w:rsid w:val="00576E43"/>
    <w:rsid w:val="00581A40"/>
    <w:rsid w:val="00583853"/>
    <w:rsid w:val="00584469"/>
    <w:rsid w:val="0058665E"/>
    <w:rsid w:val="00587D82"/>
    <w:rsid w:val="00593BFB"/>
    <w:rsid w:val="005A1E01"/>
    <w:rsid w:val="005A32B9"/>
    <w:rsid w:val="005A4E0C"/>
    <w:rsid w:val="005A6E4E"/>
    <w:rsid w:val="005B05E5"/>
    <w:rsid w:val="005B46C8"/>
    <w:rsid w:val="005C00F0"/>
    <w:rsid w:val="005C07C8"/>
    <w:rsid w:val="005C0EA0"/>
    <w:rsid w:val="005C10DA"/>
    <w:rsid w:val="005C32C7"/>
    <w:rsid w:val="005C7BFC"/>
    <w:rsid w:val="005D0A39"/>
    <w:rsid w:val="005D2ADF"/>
    <w:rsid w:val="005D4E10"/>
    <w:rsid w:val="005D6DD8"/>
    <w:rsid w:val="005D7D58"/>
    <w:rsid w:val="005E08CF"/>
    <w:rsid w:val="005E1A28"/>
    <w:rsid w:val="005F27E5"/>
    <w:rsid w:val="005F3FFE"/>
    <w:rsid w:val="005F425E"/>
    <w:rsid w:val="005F4720"/>
    <w:rsid w:val="005F5044"/>
    <w:rsid w:val="005F6A54"/>
    <w:rsid w:val="00600155"/>
    <w:rsid w:val="00603EAE"/>
    <w:rsid w:val="0060400F"/>
    <w:rsid w:val="0060482D"/>
    <w:rsid w:val="00605237"/>
    <w:rsid w:val="00605E6C"/>
    <w:rsid w:val="0060609D"/>
    <w:rsid w:val="0060633D"/>
    <w:rsid w:val="0060634A"/>
    <w:rsid w:val="006072DF"/>
    <w:rsid w:val="00610BF7"/>
    <w:rsid w:val="006116D8"/>
    <w:rsid w:val="00615DD2"/>
    <w:rsid w:val="00617D2F"/>
    <w:rsid w:val="006259B0"/>
    <w:rsid w:val="00626A0B"/>
    <w:rsid w:val="0063532E"/>
    <w:rsid w:val="00635E02"/>
    <w:rsid w:val="006445F7"/>
    <w:rsid w:val="006457B3"/>
    <w:rsid w:val="00650681"/>
    <w:rsid w:val="0065404F"/>
    <w:rsid w:val="006611E7"/>
    <w:rsid w:val="006639F5"/>
    <w:rsid w:val="00663B51"/>
    <w:rsid w:val="00666CCB"/>
    <w:rsid w:val="00667CD3"/>
    <w:rsid w:val="00676860"/>
    <w:rsid w:val="00677F4D"/>
    <w:rsid w:val="00680679"/>
    <w:rsid w:val="00681FAD"/>
    <w:rsid w:val="00683132"/>
    <w:rsid w:val="006840E1"/>
    <w:rsid w:val="00690A79"/>
    <w:rsid w:val="00693E06"/>
    <w:rsid w:val="00695A5C"/>
    <w:rsid w:val="006A1B0C"/>
    <w:rsid w:val="006A548B"/>
    <w:rsid w:val="006A6198"/>
    <w:rsid w:val="006A6523"/>
    <w:rsid w:val="006A6B56"/>
    <w:rsid w:val="006B1200"/>
    <w:rsid w:val="006B23B6"/>
    <w:rsid w:val="006B4CDF"/>
    <w:rsid w:val="006B775B"/>
    <w:rsid w:val="006C0571"/>
    <w:rsid w:val="006C4067"/>
    <w:rsid w:val="006C6039"/>
    <w:rsid w:val="006C7BAE"/>
    <w:rsid w:val="006D1795"/>
    <w:rsid w:val="006D6221"/>
    <w:rsid w:val="006D6440"/>
    <w:rsid w:val="006E21E8"/>
    <w:rsid w:val="006E2BB8"/>
    <w:rsid w:val="006E5BF7"/>
    <w:rsid w:val="006E6AD9"/>
    <w:rsid w:val="006E7CE0"/>
    <w:rsid w:val="006F45CE"/>
    <w:rsid w:val="006F49C8"/>
    <w:rsid w:val="00705591"/>
    <w:rsid w:val="00705EF1"/>
    <w:rsid w:val="00717161"/>
    <w:rsid w:val="007205E4"/>
    <w:rsid w:val="00725401"/>
    <w:rsid w:val="00725C78"/>
    <w:rsid w:val="007277D6"/>
    <w:rsid w:val="007319B0"/>
    <w:rsid w:val="00733B6D"/>
    <w:rsid w:val="007362B9"/>
    <w:rsid w:val="0074074F"/>
    <w:rsid w:val="00740C24"/>
    <w:rsid w:val="007418C1"/>
    <w:rsid w:val="00741F24"/>
    <w:rsid w:val="00743918"/>
    <w:rsid w:val="007450BD"/>
    <w:rsid w:val="00750A2F"/>
    <w:rsid w:val="0075202D"/>
    <w:rsid w:val="007524AE"/>
    <w:rsid w:val="007537CE"/>
    <w:rsid w:val="00753F64"/>
    <w:rsid w:val="007547B3"/>
    <w:rsid w:val="00755F07"/>
    <w:rsid w:val="007608DB"/>
    <w:rsid w:val="00761101"/>
    <w:rsid w:val="00762300"/>
    <w:rsid w:val="007638F1"/>
    <w:rsid w:val="0076562E"/>
    <w:rsid w:val="00767903"/>
    <w:rsid w:val="00767B8E"/>
    <w:rsid w:val="00767E13"/>
    <w:rsid w:val="0077280F"/>
    <w:rsid w:val="007729B2"/>
    <w:rsid w:val="00774469"/>
    <w:rsid w:val="00776FB8"/>
    <w:rsid w:val="00777BEF"/>
    <w:rsid w:val="0078171A"/>
    <w:rsid w:val="00790DF6"/>
    <w:rsid w:val="00790F67"/>
    <w:rsid w:val="00792238"/>
    <w:rsid w:val="007932A1"/>
    <w:rsid w:val="00793CD6"/>
    <w:rsid w:val="0079439A"/>
    <w:rsid w:val="007946E1"/>
    <w:rsid w:val="00794D56"/>
    <w:rsid w:val="007973E4"/>
    <w:rsid w:val="007A031C"/>
    <w:rsid w:val="007A182D"/>
    <w:rsid w:val="007A5D27"/>
    <w:rsid w:val="007B24D6"/>
    <w:rsid w:val="007B3322"/>
    <w:rsid w:val="007B3810"/>
    <w:rsid w:val="007B61BD"/>
    <w:rsid w:val="007C28BB"/>
    <w:rsid w:val="007C31CE"/>
    <w:rsid w:val="007C68DB"/>
    <w:rsid w:val="007C6B84"/>
    <w:rsid w:val="007C7C30"/>
    <w:rsid w:val="007D17E9"/>
    <w:rsid w:val="007D1A9B"/>
    <w:rsid w:val="007D27C0"/>
    <w:rsid w:val="007D2F1C"/>
    <w:rsid w:val="007D309B"/>
    <w:rsid w:val="007D39E2"/>
    <w:rsid w:val="007D4D2B"/>
    <w:rsid w:val="007D5236"/>
    <w:rsid w:val="007E01EB"/>
    <w:rsid w:val="007E10A6"/>
    <w:rsid w:val="007E1BE8"/>
    <w:rsid w:val="007E3425"/>
    <w:rsid w:val="007E504D"/>
    <w:rsid w:val="007E604F"/>
    <w:rsid w:val="007E6CA0"/>
    <w:rsid w:val="007F02E0"/>
    <w:rsid w:val="007F04B5"/>
    <w:rsid w:val="007F1ADA"/>
    <w:rsid w:val="007F6195"/>
    <w:rsid w:val="008023DD"/>
    <w:rsid w:val="00810147"/>
    <w:rsid w:val="00812D11"/>
    <w:rsid w:val="00814294"/>
    <w:rsid w:val="00816680"/>
    <w:rsid w:val="00822393"/>
    <w:rsid w:val="008223FB"/>
    <w:rsid w:val="00822CA7"/>
    <w:rsid w:val="008256AD"/>
    <w:rsid w:val="00830D79"/>
    <w:rsid w:val="00836E7B"/>
    <w:rsid w:val="0084043F"/>
    <w:rsid w:val="008425E6"/>
    <w:rsid w:val="0084501E"/>
    <w:rsid w:val="00850418"/>
    <w:rsid w:val="00850E11"/>
    <w:rsid w:val="00854622"/>
    <w:rsid w:val="008555A9"/>
    <w:rsid w:val="00860860"/>
    <w:rsid w:val="00863C7D"/>
    <w:rsid w:val="00863FFB"/>
    <w:rsid w:val="00864CD7"/>
    <w:rsid w:val="00864FC7"/>
    <w:rsid w:val="00866372"/>
    <w:rsid w:val="00866D1B"/>
    <w:rsid w:val="00871239"/>
    <w:rsid w:val="00872251"/>
    <w:rsid w:val="00876DEC"/>
    <w:rsid w:val="00880048"/>
    <w:rsid w:val="00884583"/>
    <w:rsid w:val="008871AB"/>
    <w:rsid w:val="00887580"/>
    <w:rsid w:val="00895403"/>
    <w:rsid w:val="00895A58"/>
    <w:rsid w:val="008A3A8C"/>
    <w:rsid w:val="008B3ABF"/>
    <w:rsid w:val="008C100A"/>
    <w:rsid w:val="008C6101"/>
    <w:rsid w:val="008C6B20"/>
    <w:rsid w:val="008D1246"/>
    <w:rsid w:val="008D20CE"/>
    <w:rsid w:val="008D506B"/>
    <w:rsid w:val="008D50FB"/>
    <w:rsid w:val="008D67A9"/>
    <w:rsid w:val="008D721E"/>
    <w:rsid w:val="008E0650"/>
    <w:rsid w:val="008E0E4B"/>
    <w:rsid w:val="008E201E"/>
    <w:rsid w:val="008E2CBE"/>
    <w:rsid w:val="008E4733"/>
    <w:rsid w:val="008F0665"/>
    <w:rsid w:val="008F0FAF"/>
    <w:rsid w:val="008F3C44"/>
    <w:rsid w:val="008F5AF5"/>
    <w:rsid w:val="008F683C"/>
    <w:rsid w:val="008F68B0"/>
    <w:rsid w:val="00902EE8"/>
    <w:rsid w:val="00906AB8"/>
    <w:rsid w:val="00906EE6"/>
    <w:rsid w:val="0090737E"/>
    <w:rsid w:val="00912F4F"/>
    <w:rsid w:val="00913E4A"/>
    <w:rsid w:val="0092057B"/>
    <w:rsid w:val="009206E8"/>
    <w:rsid w:val="00922580"/>
    <w:rsid w:val="00923F44"/>
    <w:rsid w:val="0093381D"/>
    <w:rsid w:val="00934FF4"/>
    <w:rsid w:val="00935B58"/>
    <w:rsid w:val="0094181C"/>
    <w:rsid w:val="00941A76"/>
    <w:rsid w:val="00941C5C"/>
    <w:rsid w:val="00950306"/>
    <w:rsid w:val="00951054"/>
    <w:rsid w:val="00951607"/>
    <w:rsid w:val="00952F18"/>
    <w:rsid w:val="0095462D"/>
    <w:rsid w:val="0096117E"/>
    <w:rsid w:val="00961F20"/>
    <w:rsid w:val="00965DB5"/>
    <w:rsid w:val="00971C9A"/>
    <w:rsid w:val="009742D3"/>
    <w:rsid w:val="0098086C"/>
    <w:rsid w:val="009830E0"/>
    <w:rsid w:val="0098525D"/>
    <w:rsid w:val="00986AF7"/>
    <w:rsid w:val="0098717E"/>
    <w:rsid w:val="00987475"/>
    <w:rsid w:val="009A098F"/>
    <w:rsid w:val="009A160E"/>
    <w:rsid w:val="009A4279"/>
    <w:rsid w:val="009A46E8"/>
    <w:rsid w:val="009A59CE"/>
    <w:rsid w:val="009B03E6"/>
    <w:rsid w:val="009B048F"/>
    <w:rsid w:val="009B6945"/>
    <w:rsid w:val="009C0117"/>
    <w:rsid w:val="009C60DD"/>
    <w:rsid w:val="009C6A20"/>
    <w:rsid w:val="009D4270"/>
    <w:rsid w:val="009D6B41"/>
    <w:rsid w:val="009E0188"/>
    <w:rsid w:val="009E15A6"/>
    <w:rsid w:val="009E4CD1"/>
    <w:rsid w:val="009E71DE"/>
    <w:rsid w:val="009E7AC6"/>
    <w:rsid w:val="009F12CB"/>
    <w:rsid w:val="009F2764"/>
    <w:rsid w:val="009F6B84"/>
    <w:rsid w:val="009F7448"/>
    <w:rsid w:val="009F7922"/>
    <w:rsid w:val="009F7CDF"/>
    <w:rsid w:val="00A0226E"/>
    <w:rsid w:val="00A0260E"/>
    <w:rsid w:val="00A03E5D"/>
    <w:rsid w:val="00A04088"/>
    <w:rsid w:val="00A1004D"/>
    <w:rsid w:val="00A10828"/>
    <w:rsid w:val="00A10969"/>
    <w:rsid w:val="00A115FB"/>
    <w:rsid w:val="00A11F36"/>
    <w:rsid w:val="00A159A9"/>
    <w:rsid w:val="00A17A13"/>
    <w:rsid w:val="00A222F7"/>
    <w:rsid w:val="00A2274B"/>
    <w:rsid w:val="00A22F96"/>
    <w:rsid w:val="00A232A0"/>
    <w:rsid w:val="00A247FB"/>
    <w:rsid w:val="00A27C2B"/>
    <w:rsid w:val="00A300EC"/>
    <w:rsid w:val="00A30DEA"/>
    <w:rsid w:val="00A32EEE"/>
    <w:rsid w:val="00A34DDA"/>
    <w:rsid w:val="00A36D4D"/>
    <w:rsid w:val="00A3748D"/>
    <w:rsid w:val="00A4075B"/>
    <w:rsid w:val="00A45B5B"/>
    <w:rsid w:val="00A4636C"/>
    <w:rsid w:val="00A516B6"/>
    <w:rsid w:val="00A53D52"/>
    <w:rsid w:val="00A53E09"/>
    <w:rsid w:val="00A54F98"/>
    <w:rsid w:val="00A553B1"/>
    <w:rsid w:val="00A60719"/>
    <w:rsid w:val="00A61CAD"/>
    <w:rsid w:val="00A63B38"/>
    <w:rsid w:val="00A7119E"/>
    <w:rsid w:val="00A719A8"/>
    <w:rsid w:val="00A71E8D"/>
    <w:rsid w:val="00A72428"/>
    <w:rsid w:val="00A72F3C"/>
    <w:rsid w:val="00A74ECE"/>
    <w:rsid w:val="00A769F4"/>
    <w:rsid w:val="00A80B11"/>
    <w:rsid w:val="00A82AB2"/>
    <w:rsid w:val="00A852A5"/>
    <w:rsid w:val="00A87035"/>
    <w:rsid w:val="00A8726E"/>
    <w:rsid w:val="00A901AE"/>
    <w:rsid w:val="00A90B4C"/>
    <w:rsid w:val="00A91787"/>
    <w:rsid w:val="00A91F13"/>
    <w:rsid w:val="00A927A2"/>
    <w:rsid w:val="00A9317D"/>
    <w:rsid w:val="00A94FA5"/>
    <w:rsid w:val="00AA281A"/>
    <w:rsid w:val="00AA444F"/>
    <w:rsid w:val="00AA5996"/>
    <w:rsid w:val="00AB50EC"/>
    <w:rsid w:val="00AB6048"/>
    <w:rsid w:val="00AB7A37"/>
    <w:rsid w:val="00AC3E61"/>
    <w:rsid w:val="00AC4090"/>
    <w:rsid w:val="00AC65D8"/>
    <w:rsid w:val="00AD15A1"/>
    <w:rsid w:val="00AD1CEF"/>
    <w:rsid w:val="00AD4EEC"/>
    <w:rsid w:val="00AD614C"/>
    <w:rsid w:val="00AD7158"/>
    <w:rsid w:val="00AE064A"/>
    <w:rsid w:val="00AE0B9D"/>
    <w:rsid w:val="00AE2542"/>
    <w:rsid w:val="00AE2DA1"/>
    <w:rsid w:val="00AE3D1F"/>
    <w:rsid w:val="00AE3D4A"/>
    <w:rsid w:val="00AF008F"/>
    <w:rsid w:val="00AF2D2C"/>
    <w:rsid w:val="00AF339D"/>
    <w:rsid w:val="00AF4505"/>
    <w:rsid w:val="00AF5EAB"/>
    <w:rsid w:val="00AF651A"/>
    <w:rsid w:val="00AF7BC2"/>
    <w:rsid w:val="00AF7D97"/>
    <w:rsid w:val="00B00A00"/>
    <w:rsid w:val="00B01571"/>
    <w:rsid w:val="00B045E9"/>
    <w:rsid w:val="00B06FF6"/>
    <w:rsid w:val="00B116BD"/>
    <w:rsid w:val="00B27968"/>
    <w:rsid w:val="00B30833"/>
    <w:rsid w:val="00B32778"/>
    <w:rsid w:val="00B40DF4"/>
    <w:rsid w:val="00B41229"/>
    <w:rsid w:val="00B41872"/>
    <w:rsid w:val="00B51D77"/>
    <w:rsid w:val="00B53478"/>
    <w:rsid w:val="00B54302"/>
    <w:rsid w:val="00B55196"/>
    <w:rsid w:val="00B55DBB"/>
    <w:rsid w:val="00B56B20"/>
    <w:rsid w:val="00B5712A"/>
    <w:rsid w:val="00B627C2"/>
    <w:rsid w:val="00B63BCD"/>
    <w:rsid w:val="00B753A8"/>
    <w:rsid w:val="00B756A0"/>
    <w:rsid w:val="00B77724"/>
    <w:rsid w:val="00B81445"/>
    <w:rsid w:val="00B81FE0"/>
    <w:rsid w:val="00B8488C"/>
    <w:rsid w:val="00B86AB6"/>
    <w:rsid w:val="00B8751C"/>
    <w:rsid w:val="00B9350E"/>
    <w:rsid w:val="00B9613D"/>
    <w:rsid w:val="00B96AA2"/>
    <w:rsid w:val="00BA0DA4"/>
    <w:rsid w:val="00BA4AE6"/>
    <w:rsid w:val="00BB1B66"/>
    <w:rsid w:val="00BB2C9A"/>
    <w:rsid w:val="00BB3414"/>
    <w:rsid w:val="00BB5003"/>
    <w:rsid w:val="00BC1569"/>
    <w:rsid w:val="00BC1573"/>
    <w:rsid w:val="00BC1918"/>
    <w:rsid w:val="00BC278F"/>
    <w:rsid w:val="00BC376B"/>
    <w:rsid w:val="00BC4651"/>
    <w:rsid w:val="00BC5834"/>
    <w:rsid w:val="00BC684E"/>
    <w:rsid w:val="00BC6C16"/>
    <w:rsid w:val="00BD1D1A"/>
    <w:rsid w:val="00BD250D"/>
    <w:rsid w:val="00BD60F7"/>
    <w:rsid w:val="00BD6145"/>
    <w:rsid w:val="00BD73B8"/>
    <w:rsid w:val="00BD7C6E"/>
    <w:rsid w:val="00BD7D51"/>
    <w:rsid w:val="00BD7D61"/>
    <w:rsid w:val="00BE1590"/>
    <w:rsid w:val="00BE209F"/>
    <w:rsid w:val="00BE23F9"/>
    <w:rsid w:val="00BE30F3"/>
    <w:rsid w:val="00BE69D8"/>
    <w:rsid w:val="00BF3A7C"/>
    <w:rsid w:val="00BF40C2"/>
    <w:rsid w:val="00BF49FE"/>
    <w:rsid w:val="00C01D86"/>
    <w:rsid w:val="00C022E2"/>
    <w:rsid w:val="00C0641C"/>
    <w:rsid w:val="00C10B2A"/>
    <w:rsid w:val="00C113D5"/>
    <w:rsid w:val="00C127A5"/>
    <w:rsid w:val="00C139D7"/>
    <w:rsid w:val="00C15994"/>
    <w:rsid w:val="00C15CCD"/>
    <w:rsid w:val="00C2157E"/>
    <w:rsid w:val="00C2451C"/>
    <w:rsid w:val="00C2550B"/>
    <w:rsid w:val="00C262C3"/>
    <w:rsid w:val="00C26D63"/>
    <w:rsid w:val="00C27D76"/>
    <w:rsid w:val="00C313CF"/>
    <w:rsid w:val="00C31B96"/>
    <w:rsid w:val="00C37BB5"/>
    <w:rsid w:val="00C4392E"/>
    <w:rsid w:val="00C43B4C"/>
    <w:rsid w:val="00C43DAD"/>
    <w:rsid w:val="00C44851"/>
    <w:rsid w:val="00C45DF3"/>
    <w:rsid w:val="00C47CF4"/>
    <w:rsid w:val="00C50E39"/>
    <w:rsid w:val="00C52D57"/>
    <w:rsid w:val="00C539AE"/>
    <w:rsid w:val="00C60C20"/>
    <w:rsid w:val="00C628A6"/>
    <w:rsid w:val="00C64CA0"/>
    <w:rsid w:val="00C64D9B"/>
    <w:rsid w:val="00C67B3B"/>
    <w:rsid w:val="00C67BC2"/>
    <w:rsid w:val="00C70FA9"/>
    <w:rsid w:val="00C726BD"/>
    <w:rsid w:val="00C75699"/>
    <w:rsid w:val="00C823D2"/>
    <w:rsid w:val="00C9113E"/>
    <w:rsid w:val="00C91B85"/>
    <w:rsid w:val="00C93BBD"/>
    <w:rsid w:val="00C94587"/>
    <w:rsid w:val="00C97A6C"/>
    <w:rsid w:val="00C97F3A"/>
    <w:rsid w:val="00CA0B89"/>
    <w:rsid w:val="00CA1E25"/>
    <w:rsid w:val="00CA254A"/>
    <w:rsid w:val="00CA3FC5"/>
    <w:rsid w:val="00CA4A9C"/>
    <w:rsid w:val="00CA5750"/>
    <w:rsid w:val="00CA6AD8"/>
    <w:rsid w:val="00CB105A"/>
    <w:rsid w:val="00CB5197"/>
    <w:rsid w:val="00CB52D0"/>
    <w:rsid w:val="00CB533C"/>
    <w:rsid w:val="00CB6676"/>
    <w:rsid w:val="00CC032B"/>
    <w:rsid w:val="00CC1B34"/>
    <w:rsid w:val="00CC2C94"/>
    <w:rsid w:val="00CC7A88"/>
    <w:rsid w:val="00CD0B05"/>
    <w:rsid w:val="00CD0B4C"/>
    <w:rsid w:val="00CD10FF"/>
    <w:rsid w:val="00CD19E2"/>
    <w:rsid w:val="00CD6746"/>
    <w:rsid w:val="00CE1B17"/>
    <w:rsid w:val="00CE7AB8"/>
    <w:rsid w:val="00CE7B0E"/>
    <w:rsid w:val="00CF1ACA"/>
    <w:rsid w:val="00CF7FD5"/>
    <w:rsid w:val="00D0098E"/>
    <w:rsid w:val="00D01C91"/>
    <w:rsid w:val="00D04D3F"/>
    <w:rsid w:val="00D05A0A"/>
    <w:rsid w:val="00D06392"/>
    <w:rsid w:val="00D077DC"/>
    <w:rsid w:val="00D07D63"/>
    <w:rsid w:val="00D12492"/>
    <w:rsid w:val="00D13542"/>
    <w:rsid w:val="00D15499"/>
    <w:rsid w:val="00D2070F"/>
    <w:rsid w:val="00D21778"/>
    <w:rsid w:val="00D226EA"/>
    <w:rsid w:val="00D26ECF"/>
    <w:rsid w:val="00D3274E"/>
    <w:rsid w:val="00D37451"/>
    <w:rsid w:val="00D42355"/>
    <w:rsid w:val="00D43F7B"/>
    <w:rsid w:val="00D46BE1"/>
    <w:rsid w:val="00D54483"/>
    <w:rsid w:val="00D609D4"/>
    <w:rsid w:val="00D64E74"/>
    <w:rsid w:val="00D6625D"/>
    <w:rsid w:val="00D7108F"/>
    <w:rsid w:val="00D7181A"/>
    <w:rsid w:val="00D71E8D"/>
    <w:rsid w:val="00D73296"/>
    <w:rsid w:val="00D807CE"/>
    <w:rsid w:val="00D8783A"/>
    <w:rsid w:val="00D87861"/>
    <w:rsid w:val="00D916A4"/>
    <w:rsid w:val="00D91DCB"/>
    <w:rsid w:val="00D963F8"/>
    <w:rsid w:val="00D970B0"/>
    <w:rsid w:val="00DA1381"/>
    <w:rsid w:val="00DA1B39"/>
    <w:rsid w:val="00DA292E"/>
    <w:rsid w:val="00DA377A"/>
    <w:rsid w:val="00DB30C3"/>
    <w:rsid w:val="00DB4033"/>
    <w:rsid w:val="00DB58C8"/>
    <w:rsid w:val="00DC31D4"/>
    <w:rsid w:val="00DC3B0F"/>
    <w:rsid w:val="00DC495E"/>
    <w:rsid w:val="00DC6979"/>
    <w:rsid w:val="00DC79DA"/>
    <w:rsid w:val="00DD24F3"/>
    <w:rsid w:val="00DD403E"/>
    <w:rsid w:val="00DD6ECF"/>
    <w:rsid w:val="00DD7AA6"/>
    <w:rsid w:val="00DE230A"/>
    <w:rsid w:val="00DF0311"/>
    <w:rsid w:val="00DF47D9"/>
    <w:rsid w:val="00DF4899"/>
    <w:rsid w:val="00DF4C30"/>
    <w:rsid w:val="00DF6BDD"/>
    <w:rsid w:val="00E0099C"/>
    <w:rsid w:val="00E031A0"/>
    <w:rsid w:val="00E03591"/>
    <w:rsid w:val="00E043AB"/>
    <w:rsid w:val="00E0518C"/>
    <w:rsid w:val="00E05DA3"/>
    <w:rsid w:val="00E10E28"/>
    <w:rsid w:val="00E1799B"/>
    <w:rsid w:val="00E22EB9"/>
    <w:rsid w:val="00E23290"/>
    <w:rsid w:val="00E23A3B"/>
    <w:rsid w:val="00E25688"/>
    <w:rsid w:val="00E25DB7"/>
    <w:rsid w:val="00E2631E"/>
    <w:rsid w:val="00E278C2"/>
    <w:rsid w:val="00E30BC6"/>
    <w:rsid w:val="00E31C5D"/>
    <w:rsid w:val="00E334C1"/>
    <w:rsid w:val="00E340F8"/>
    <w:rsid w:val="00E369BD"/>
    <w:rsid w:val="00E466BF"/>
    <w:rsid w:val="00E46DBC"/>
    <w:rsid w:val="00E54245"/>
    <w:rsid w:val="00E550EF"/>
    <w:rsid w:val="00E55C2E"/>
    <w:rsid w:val="00E56467"/>
    <w:rsid w:val="00E61506"/>
    <w:rsid w:val="00E63A82"/>
    <w:rsid w:val="00E65F4A"/>
    <w:rsid w:val="00E71EE6"/>
    <w:rsid w:val="00E73830"/>
    <w:rsid w:val="00E753DE"/>
    <w:rsid w:val="00E75AD7"/>
    <w:rsid w:val="00E81E99"/>
    <w:rsid w:val="00E832C4"/>
    <w:rsid w:val="00E83E95"/>
    <w:rsid w:val="00E85962"/>
    <w:rsid w:val="00E85C25"/>
    <w:rsid w:val="00E86500"/>
    <w:rsid w:val="00E91BE1"/>
    <w:rsid w:val="00E94522"/>
    <w:rsid w:val="00E957C1"/>
    <w:rsid w:val="00E96551"/>
    <w:rsid w:val="00E97ED3"/>
    <w:rsid w:val="00EA0C0C"/>
    <w:rsid w:val="00EA1882"/>
    <w:rsid w:val="00EA665F"/>
    <w:rsid w:val="00EA79CF"/>
    <w:rsid w:val="00EA7FE4"/>
    <w:rsid w:val="00EB272F"/>
    <w:rsid w:val="00EB3240"/>
    <w:rsid w:val="00EB5D62"/>
    <w:rsid w:val="00EB5E48"/>
    <w:rsid w:val="00EC054E"/>
    <w:rsid w:val="00EC22C0"/>
    <w:rsid w:val="00EC49F1"/>
    <w:rsid w:val="00EC54BF"/>
    <w:rsid w:val="00EC5BE6"/>
    <w:rsid w:val="00EC5C03"/>
    <w:rsid w:val="00EC5FB2"/>
    <w:rsid w:val="00ED21F8"/>
    <w:rsid w:val="00ED5551"/>
    <w:rsid w:val="00ED6E3B"/>
    <w:rsid w:val="00ED7727"/>
    <w:rsid w:val="00EE0444"/>
    <w:rsid w:val="00EE06EB"/>
    <w:rsid w:val="00EE0872"/>
    <w:rsid w:val="00EE5246"/>
    <w:rsid w:val="00EF1FAC"/>
    <w:rsid w:val="00EF2848"/>
    <w:rsid w:val="00EF3FDE"/>
    <w:rsid w:val="00EF6DE0"/>
    <w:rsid w:val="00F00714"/>
    <w:rsid w:val="00F02F32"/>
    <w:rsid w:val="00F0325C"/>
    <w:rsid w:val="00F04613"/>
    <w:rsid w:val="00F06779"/>
    <w:rsid w:val="00F10C93"/>
    <w:rsid w:val="00F10E73"/>
    <w:rsid w:val="00F10E8D"/>
    <w:rsid w:val="00F15276"/>
    <w:rsid w:val="00F16BA1"/>
    <w:rsid w:val="00F17625"/>
    <w:rsid w:val="00F1784C"/>
    <w:rsid w:val="00F22253"/>
    <w:rsid w:val="00F232F1"/>
    <w:rsid w:val="00F2381F"/>
    <w:rsid w:val="00F23826"/>
    <w:rsid w:val="00F2643F"/>
    <w:rsid w:val="00F270E8"/>
    <w:rsid w:val="00F323B3"/>
    <w:rsid w:val="00F34204"/>
    <w:rsid w:val="00F35CA1"/>
    <w:rsid w:val="00F3701C"/>
    <w:rsid w:val="00F446ED"/>
    <w:rsid w:val="00F46035"/>
    <w:rsid w:val="00F51510"/>
    <w:rsid w:val="00F537DE"/>
    <w:rsid w:val="00F6151D"/>
    <w:rsid w:val="00F66613"/>
    <w:rsid w:val="00F7177C"/>
    <w:rsid w:val="00F7242D"/>
    <w:rsid w:val="00F8038A"/>
    <w:rsid w:val="00F83EA7"/>
    <w:rsid w:val="00F85C8A"/>
    <w:rsid w:val="00F90259"/>
    <w:rsid w:val="00F91642"/>
    <w:rsid w:val="00F92F3E"/>
    <w:rsid w:val="00FA4E6D"/>
    <w:rsid w:val="00FB467B"/>
    <w:rsid w:val="00FB7B4C"/>
    <w:rsid w:val="00FB7E1D"/>
    <w:rsid w:val="00FC2009"/>
    <w:rsid w:val="00FC56D7"/>
    <w:rsid w:val="00FD0321"/>
    <w:rsid w:val="00FD2EFA"/>
    <w:rsid w:val="00FD5922"/>
    <w:rsid w:val="00FD6725"/>
    <w:rsid w:val="00FD6B1F"/>
    <w:rsid w:val="00FD6FCE"/>
    <w:rsid w:val="00FD70FE"/>
    <w:rsid w:val="00FD7B2D"/>
    <w:rsid w:val="00FD7B4B"/>
    <w:rsid w:val="00FE1399"/>
    <w:rsid w:val="00FE3E25"/>
    <w:rsid w:val="00FE3FE4"/>
    <w:rsid w:val="00FE47B7"/>
    <w:rsid w:val="00FE6391"/>
    <w:rsid w:val="00FE72CE"/>
    <w:rsid w:val="00FF18BE"/>
    <w:rsid w:val="00FF3209"/>
    <w:rsid w:val="00FF5A4D"/>
    <w:rsid w:val="00FF6489"/>
    <w:rsid w:val="00FF65DB"/>
    <w:rsid w:val="00FF72CA"/>
    <w:rsid w:val="00FF79B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06FF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06FF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line="360" w:lineRule="auto"/>
      <w:jc w:val="center"/>
      <w:outlineLvl w:val="6"/>
    </w:pPr>
    <w:rPr>
      <w:rFonts w:asciiTheme="majorBidi" w:eastAsia="SimSun" w:hAnsiTheme="majorBidi"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B06FF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06FF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5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99"/>
    <w:qFormat/>
    <w:rsid w:val="009F12CB"/>
    <w:pPr>
      <w:spacing w:after="0" w:line="240" w:lineRule="auto"/>
    </w:pPr>
    <w:rPr>
      <w:rFonts w:ascii="Times New Roman" w:eastAsia="MS Mincho" w:hAnsi="Times New Roman"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eastAsia="en-US"/>
    </w:rPr>
  </w:style>
  <w:style w:type="character" w:customStyle="1" w:styleId="CommentTextChar">
    <w:name w:val="Comment Text Char"/>
    <w:basedOn w:val="DefaultParagraphFont"/>
    <w:link w:val="CommentText"/>
    <w:uiPriority w:val="99"/>
    <w:rsid w:val="009F12CB"/>
    <w:rPr>
      <w:rFonts w:eastAsia="Batang"/>
      <w:sz w:val="20"/>
      <w:szCs w:val="20"/>
      <w:lang w:val="fr-F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fr-F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AF651A"/>
    <w:pPr>
      <w:spacing w:after="100"/>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fr-FR" w:eastAsia="en-US"/>
    </w:rPr>
  </w:style>
  <w:style w:type="paragraph" w:styleId="FootnoteText">
    <w:name w:val="footnote text"/>
    <w:basedOn w:val="Normal"/>
    <w:link w:val="FootnoteTextChar"/>
    <w:uiPriority w:val="99"/>
    <w:unhideWhenUsed/>
    <w:rsid w:val="00DC6979"/>
    <w:pPr>
      <w:spacing w:after="0" w:line="240" w:lineRule="auto"/>
    </w:pPr>
    <w:rPr>
      <w:sz w:val="20"/>
      <w:szCs w:val="20"/>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line="360" w:lineRule="auto"/>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line="360" w:lineRule="auto"/>
      <w:ind w:left="720" w:hanging="720"/>
    </w:pPr>
    <w:rPr>
      <w:rFonts w:ascii="Times New Roman" w:eastAsia="Times New Roman" w:hAnsi="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character" w:customStyle="1" w:styleId="ListParagraphChar">
    <w:name w:val="List Paragraph Char"/>
    <w:basedOn w:val="DefaultParagraphFont"/>
    <w:link w:val="ListParagraph"/>
    <w:uiPriority w:val="34"/>
    <w:rsid w:val="00A94FA5"/>
  </w:style>
  <w:style w:type="character" w:styleId="FollowedHyperlink">
    <w:name w:val="FollowedHyperlink"/>
    <w:basedOn w:val="DefaultParagraphFont"/>
    <w:uiPriority w:val="99"/>
    <w:semiHidden/>
    <w:unhideWhenUsed/>
    <w:rsid w:val="00556FA3"/>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06FF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06FF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line="360" w:lineRule="auto"/>
      <w:jc w:val="center"/>
      <w:outlineLvl w:val="6"/>
    </w:pPr>
    <w:rPr>
      <w:rFonts w:asciiTheme="majorBidi" w:eastAsia="SimSun" w:hAnsiTheme="majorBidi"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B06FF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06FF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5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99"/>
    <w:qFormat/>
    <w:rsid w:val="009F12CB"/>
    <w:pPr>
      <w:spacing w:after="0" w:line="240" w:lineRule="auto"/>
    </w:pPr>
    <w:rPr>
      <w:rFonts w:ascii="Times New Roman" w:eastAsia="MS Mincho" w:hAnsi="Times New Roman"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eastAsia="en-US"/>
    </w:rPr>
  </w:style>
  <w:style w:type="character" w:customStyle="1" w:styleId="CommentTextChar">
    <w:name w:val="Comment Text Char"/>
    <w:basedOn w:val="DefaultParagraphFont"/>
    <w:link w:val="CommentText"/>
    <w:uiPriority w:val="99"/>
    <w:rsid w:val="009F12CB"/>
    <w:rPr>
      <w:rFonts w:eastAsia="Batang"/>
      <w:sz w:val="20"/>
      <w:szCs w:val="20"/>
      <w:lang w:val="fr-F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fr-F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AF651A"/>
    <w:pPr>
      <w:spacing w:after="100"/>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fr-FR" w:eastAsia="en-US"/>
    </w:rPr>
  </w:style>
  <w:style w:type="paragraph" w:styleId="FootnoteText">
    <w:name w:val="footnote text"/>
    <w:basedOn w:val="Normal"/>
    <w:link w:val="FootnoteTextChar"/>
    <w:uiPriority w:val="99"/>
    <w:unhideWhenUsed/>
    <w:rsid w:val="00DC6979"/>
    <w:pPr>
      <w:spacing w:after="0" w:line="240" w:lineRule="auto"/>
    </w:pPr>
    <w:rPr>
      <w:sz w:val="20"/>
      <w:szCs w:val="20"/>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line="360" w:lineRule="auto"/>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line="360" w:lineRule="auto"/>
      <w:ind w:left="720" w:hanging="720"/>
    </w:pPr>
    <w:rPr>
      <w:rFonts w:ascii="Times New Roman" w:eastAsia="Times New Roman" w:hAnsi="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character" w:customStyle="1" w:styleId="ListParagraphChar">
    <w:name w:val="List Paragraph Char"/>
    <w:basedOn w:val="DefaultParagraphFont"/>
    <w:link w:val="ListParagraph"/>
    <w:uiPriority w:val="34"/>
    <w:rsid w:val="00A94FA5"/>
  </w:style>
  <w:style w:type="character" w:styleId="FollowedHyperlink">
    <w:name w:val="FollowedHyperlink"/>
    <w:basedOn w:val="DefaultParagraphFont"/>
    <w:uiPriority w:val="99"/>
    <w:semiHidden/>
    <w:unhideWhenUsed/>
    <w:rsid w:val="00556FA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75151">
      <w:bodyDiv w:val="1"/>
      <w:marLeft w:val="0"/>
      <w:marRight w:val="0"/>
      <w:marTop w:val="0"/>
      <w:marBottom w:val="0"/>
      <w:divBdr>
        <w:top w:val="none" w:sz="0" w:space="0" w:color="auto"/>
        <w:left w:val="none" w:sz="0" w:space="0" w:color="auto"/>
        <w:bottom w:val="none" w:sz="0" w:space="0" w:color="auto"/>
        <w:right w:val="none" w:sz="0" w:space="0" w:color="auto"/>
      </w:divBdr>
    </w:div>
    <w:div w:id="510294893">
      <w:bodyDiv w:val="1"/>
      <w:marLeft w:val="0"/>
      <w:marRight w:val="0"/>
      <w:marTop w:val="0"/>
      <w:marBottom w:val="0"/>
      <w:divBdr>
        <w:top w:val="none" w:sz="0" w:space="0" w:color="auto"/>
        <w:left w:val="none" w:sz="0" w:space="0" w:color="auto"/>
        <w:bottom w:val="none" w:sz="0" w:space="0" w:color="auto"/>
        <w:right w:val="none" w:sz="0" w:space="0" w:color="auto"/>
      </w:divBdr>
    </w:div>
    <w:div w:id="568463297">
      <w:bodyDiv w:val="1"/>
      <w:marLeft w:val="0"/>
      <w:marRight w:val="0"/>
      <w:marTop w:val="0"/>
      <w:marBottom w:val="0"/>
      <w:divBdr>
        <w:top w:val="none" w:sz="0" w:space="0" w:color="auto"/>
        <w:left w:val="none" w:sz="0" w:space="0" w:color="auto"/>
        <w:bottom w:val="none" w:sz="0" w:space="0" w:color="auto"/>
        <w:right w:val="none" w:sz="0" w:space="0" w:color="auto"/>
      </w:divBdr>
    </w:div>
    <w:div w:id="978415232">
      <w:bodyDiv w:val="1"/>
      <w:marLeft w:val="0"/>
      <w:marRight w:val="0"/>
      <w:marTop w:val="0"/>
      <w:marBottom w:val="0"/>
      <w:divBdr>
        <w:top w:val="none" w:sz="0" w:space="0" w:color="auto"/>
        <w:left w:val="none" w:sz="0" w:space="0" w:color="auto"/>
        <w:bottom w:val="none" w:sz="0" w:space="0" w:color="auto"/>
        <w:right w:val="none" w:sz="0" w:space="0" w:color="auto"/>
      </w:divBdr>
    </w:div>
    <w:div w:id="1775898619">
      <w:bodyDiv w:val="1"/>
      <w:marLeft w:val="0"/>
      <w:marRight w:val="0"/>
      <w:marTop w:val="0"/>
      <w:marBottom w:val="0"/>
      <w:divBdr>
        <w:top w:val="none" w:sz="0" w:space="0" w:color="auto"/>
        <w:left w:val="none" w:sz="0" w:space="0" w:color="auto"/>
        <w:bottom w:val="none" w:sz="0" w:space="0" w:color="auto"/>
        <w:right w:val="none" w:sz="0" w:space="0" w:color="auto"/>
      </w:divBdr>
      <w:divsChild>
        <w:div w:id="450979418">
          <w:marLeft w:val="547"/>
          <w:marRight w:val="0"/>
          <w:marTop w:val="200"/>
          <w:marBottom w:val="0"/>
          <w:divBdr>
            <w:top w:val="none" w:sz="0" w:space="0" w:color="auto"/>
            <w:left w:val="none" w:sz="0" w:space="0" w:color="auto"/>
            <w:bottom w:val="none" w:sz="0" w:space="0" w:color="auto"/>
            <w:right w:val="none" w:sz="0" w:space="0" w:color="auto"/>
          </w:divBdr>
        </w:div>
        <w:div w:id="522550286">
          <w:marLeft w:val="547"/>
          <w:marRight w:val="0"/>
          <w:marTop w:val="200"/>
          <w:marBottom w:val="0"/>
          <w:divBdr>
            <w:top w:val="none" w:sz="0" w:space="0" w:color="auto"/>
            <w:left w:val="none" w:sz="0" w:space="0" w:color="auto"/>
            <w:bottom w:val="none" w:sz="0" w:space="0" w:color="auto"/>
            <w:right w:val="none" w:sz="0" w:space="0" w:color="auto"/>
          </w:divBdr>
        </w:div>
        <w:div w:id="608971031">
          <w:marLeft w:val="547"/>
          <w:marRight w:val="0"/>
          <w:marTop w:val="200"/>
          <w:marBottom w:val="0"/>
          <w:divBdr>
            <w:top w:val="none" w:sz="0" w:space="0" w:color="auto"/>
            <w:left w:val="none" w:sz="0" w:space="0" w:color="auto"/>
            <w:bottom w:val="none" w:sz="0" w:space="0" w:color="auto"/>
            <w:right w:val="none" w:sz="0" w:space="0" w:color="auto"/>
          </w:divBdr>
        </w:div>
        <w:div w:id="1472483689">
          <w:marLeft w:val="547"/>
          <w:marRight w:val="0"/>
          <w:marTop w:val="200"/>
          <w:marBottom w:val="0"/>
          <w:divBdr>
            <w:top w:val="none" w:sz="0" w:space="0" w:color="auto"/>
            <w:left w:val="none" w:sz="0" w:space="0" w:color="auto"/>
            <w:bottom w:val="none" w:sz="0" w:space="0" w:color="auto"/>
            <w:right w:val="none" w:sz="0" w:space="0" w:color="auto"/>
          </w:divBdr>
        </w:div>
        <w:div w:id="2124618021">
          <w:marLeft w:val="547"/>
          <w:marRight w:val="0"/>
          <w:marTop w:val="200"/>
          <w:marBottom w:val="0"/>
          <w:divBdr>
            <w:top w:val="none" w:sz="0" w:space="0" w:color="auto"/>
            <w:left w:val="none" w:sz="0" w:space="0" w:color="auto"/>
            <w:bottom w:val="none" w:sz="0" w:space="0" w:color="auto"/>
            <w:right w:val="none" w:sz="0" w:space="0" w:color="auto"/>
          </w:divBdr>
        </w:div>
      </w:divsChild>
    </w:div>
    <w:div w:id="2002342004">
      <w:bodyDiv w:val="1"/>
      <w:marLeft w:val="0"/>
      <w:marRight w:val="0"/>
      <w:marTop w:val="0"/>
      <w:marBottom w:val="0"/>
      <w:divBdr>
        <w:top w:val="none" w:sz="0" w:space="0" w:color="auto"/>
        <w:left w:val="none" w:sz="0" w:space="0" w:color="auto"/>
        <w:bottom w:val="none" w:sz="0" w:space="0" w:color="auto"/>
        <w:right w:val="none" w:sz="0" w:space="0" w:color="auto"/>
      </w:divBdr>
      <w:divsChild>
        <w:div w:id="500392405">
          <w:marLeft w:val="547"/>
          <w:marRight w:val="0"/>
          <w:marTop w:val="200"/>
          <w:marBottom w:val="0"/>
          <w:divBdr>
            <w:top w:val="none" w:sz="0" w:space="0" w:color="auto"/>
            <w:left w:val="none" w:sz="0" w:space="0" w:color="auto"/>
            <w:bottom w:val="none" w:sz="0" w:space="0" w:color="auto"/>
            <w:right w:val="none" w:sz="0" w:space="0" w:color="auto"/>
          </w:divBdr>
        </w:div>
        <w:div w:id="543370362">
          <w:marLeft w:val="547"/>
          <w:marRight w:val="0"/>
          <w:marTop w:val="200"/>
          <w:marBottom w:val="0"/>
          <w:divBdr>
            <w:top w:val="none" w:sz="0" w:space="0" w:color="auto"/>
            <w:left w:val="none" w:sz="0" w:space="0" w:color="auto"/>
            <w:bottom w:val="none" w:sz="0" w:space="0" w:color="auto"/>
            <w:right w:val="none" w:sz="0" w:space="0" w:color="auto"/>
          </w:divBdr>
        </w:div>
        <w:div w:id="592935992">
          <w:marLeft w:val="547"/>
          <w:marRight w:val="0"/>
          <w:marTop w:val="200"/>
          <w:marBottom w:val="0"/>
          <w:divBdr>
            <w:top w:val="none" w:sz="0" w:space="0" w:color="auto"/>
            <w:left w:val="none" w:sz="0" w:space="0" w:color="auto"/>
            <w:bottom w:val="none" w:sz="0" w:space="0" w:color="auto"/>
            <w:right w:val="none" w:sz="0" w:space="0" w:color="auto"/>
          </w:divBdr>
        </w:div>
        <w:div w:id="599727061">
          <w:marLeft w:val="547"/>
          <w:marRight w:val="0"/>
          <w:marTop w:val="200"/>
          <w:marBottom w:val="0"/>
          <w:divBdr>
            <w:top w:val="none" w:sz="0" w:space="0" w:color="auto"/>
            <w:left w:val="none" w:sz="0" w:space="0" w:color="auto"/>
            <w:bottom w:val="none" w:sz="0" w:space="0" w:color="auto"/>
            <w:right w:val="none" w:sz="0" w:space="0" w:color="auto"/>
          </w:divBdr>
        </w:div>
        <w:div w:id="916861107">
          <w:marLeft w:val="547"/>
          <w:marRight w:val="0"/>
          <w:marTop w:val="200"/>
          <w:marBottom w:val="0"/>
          <w:divBdr>
            <w:top w:val="none" w:sz="0" w:space="0" w:color="auto"/>
            <w:left w:val="none" w:sz="0" w:space="0" w:color="auto"/>
            <w:bottom w:val="none" w:sz="0" w:space="0" w:color="auto"/>
            <w:right w:val="none" w:sz="0" w:space="0" w:color="auto"/>
          </w:divBdr>
        </w:div>
        <w:div w:id="1514420448">
          <w:marLeft w:val="1267"/>
          <w:marRight w:val="0"/>
          <w:marTop w:val="100"/>
          <w:marBottom w:val="0"/>
          <w:divBdr>
            <w:top w:val="none" w:sz="0" w:space="0" w:color="auto"/>
            <w:left w:val="none" w:sz="0" w:space="0" w:color="auto"/>
            <w:bottom w:val="none" w:sz="0" w:space="0" w:color="auto"/>
            <w:right w:val="none" w:sz="0" w:space="0" w:color="auto"/>
          </w:divBdr>
        </w:div>
        <w:div w:id="1869945652">
          <w:marLeft w:val="1267"/>
          <w:marRight w:val="0"/>
          <w:marTop w:val="100"/>
          <w:marBottom w:val="0"/>
          <w:divBdr>
            <w:top w:val="none" w:sz="0" w:space="0" w:color="auto"/>
            <w:left w:val="none" w:sz="0" w:space="0" w:color="auto"/>
            <w:bottom w:val="none" w:sz="0" w:space="0" w:color="auto"/>
            <w:right w:val="none" w:sz="0" w:space="0" w:color="auto"/>
          </w:divBdr>
        </w:div>
        <w:div w:id="1917397431">
          <w:marLeft w:val="1267"/>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hs.spc.int/ROSSP/Services/PICNet/intro.htm" TargetMode="External"/><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phs.spc.int/ROSSP/Services/EpiNet/intro.htm" TargetMode="Externa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hs.spc.int/ROSSP/Services/LabNet/intro.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header" Target="header4.xml"/><Relationship Id="rId10" Type="http://schemas.openxmlformats.org/officeDocument/2006/relationships/hyperlink" Target="http://phs.spc.int/ROSSP/Services/PacNet/intro.htm" TargetMode="External"/><Relationship Id="rId19" Type="http://schemas.openxmlformats.org/officeDocument/2006/relationships/image" Target="media/image5.png"/><Relationship Id="rId4" Type="http://schemas.microsoft.com/office/2007/relationships/stylesWithEffects" Target="stylesWithEffects.xml"/><Relationship Id="rId9" Type="http://schemas.openxmlformats.org/officeDocument/2006/relationships/hyperlink" Target="http://www.pphsn.net/ROSSP/index.htm" TargetMode="External"/><Relationship Id="rId14" Type="http://schemas.openxmlformats.org/officeDocument/2006/relationships/hyperlink" Target="http://iris.wpro.who.int/bitstream/handle/10665.1/10928/9789290617150_eng.pdf"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B02A8F01-D86F-4D3A-BD35-2D4E3BED7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4572</Words>
  <Characters>26069</Characters>
  <Application>Microsoft Office Word</Application>
  <DocSecurity>0</DocSecurity>
  <Lines>217</Lines>
  <Paragraphs>61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World Health Organization</Company>
  <LinksUpToDate>false</LinksUpToDate>
  <CharactersWithSpaces>30580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ARCEOM</dc:creator>
  <cp:lastModifiedBy>SealW</cp:lastModifiedBy>
  <cp:revision>3</cp:revision>
  <cp:lastPrinted>2015-04-06T00:58:00Z</cp:lastPrinted>
  <dcterms:created xsi:type="dcterms:W3CDTF">2019-08-01T00:20:00Z</dcterms:created>
  <dcterms:modified xsi:type="dcterms:W3CDTF">2019-08-01T04:55:00Z</dcterms:modified>
</cp:coreProperties>
</file>